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62BA" w14:textId="77777777" w:rsidR="00A168DB" w:rsidRDefault="00A168DB">
      <w:pPr>
        <w:spacing w:line="520" w:lineRule="exact"/>
        <w:rPr>
          <w:rFonts w:ascii="仿宋" w:eastAsia="仿宋" w:hAnsi="仿宋"/>
          <w:b/>
          <w:bCs/>
          <w:sz w:val="32"/>
          <w:szCs w:val="32"/>
        </w:rPr>
      </w:pPr>
    </w:p>
    <w:p w14:paraId="39E23AAA" w14:textId="77777777" w:rsidR="00A5667F" w:rsidRDefault="00000000">
      <w:pPr>
        <w:spacing w:line="520" w:lineRule="exact"/>
        <w:jc w:val="center"/>
        <w:rPr>
          <w:rFonts w:ascii="仿宋" w:eastAsia="仿宋" w:hAnsi="仿宋"/>
          <w:b/>
          <w:sz w:val="36"/>
          <w:szCs w:val="36"/>
        </w:rPr>
      </w:pPr>
      <w:r>
        <w:rPr>
          <w:rFonts w:ascii="仿宋" w:eastAsia="仿宋" w:hAnsi="仿宋" w:hint="eastAsia"/>
          <w:b/>
          <w:sz w:val="36"/>
          <w:szCs w:val="36"/>
        </w:rPr>
        <w:t>北京工商大学商学院推荐</w:t>
      </w:r>
      <w:r>
        <w:rPr>
          <w:rFonts w:ascii="仿宋" w:eastAsia="仿宋" w:hAnsi="仿宋"/>
          <w:b/>
          <w:sz w:val="36"/>
          <w:szCs w:val="36"/>
        </w:rPr>
        <w:t>20</w:t>
      </w:r>
      <w:r>
        <w:rPr>
          <w:rFonts w:ascii="仿宋" w:eastAsia="仿宋" w:hAnsi="仿宋" w:hint="eastAsia"/>
          <w:b/>
          <w:sz w:val="36"/>
          <w:szCs w:val="36"/>
        </w:rPr>
        <w:t>23</w:t>
      </w:r>
      <w:r>
        <w:rPr>
          <w:rFonts w:ascii="仿宋" w:eastAsia="仿宋" w:hAnsi="仿宋"/>
          <w:b/>
          <w:sz w:val="36"/>
          <w:szCs w:val="36"/>
        </w:rPr>
        <w:t>届</w:t>
      </w:r>
      <w:r>
        <w:rPr>
          <w:rFonts w:ascii="仿宋" w:eastAsia="仿宋" w:hAnsi="仿宋" w:hint="eastAsia"/>
          <w:b/>
          <w:sz w:val="36"/>
          <w:szCs w:val="36"/>
        </w:rPr>
        <w:t>优秀应届本科</w:t>
      </w:r>
    </w:p>
    <w:p w14:paraId="60AE3D01" w14:textId="2872E76F" w:rsidR="00A168DB" w:rsidRDefault="00000000">
      <w:pPr>
        <w:spacing w:line="520" w:lineRule="exact"/>
        <w:jc w:val="center"/>
        <w:rPr>
          <w:rFonts w:ascii="仿宋" w:eastAsia="仿宋" w:hAnsi="仿宋"/>
          <w:b/>
          <w:sz w:val="36"/>
          <w:szCs w:val="36"/>
        </w:rPr>
      </w:pPr>
      <w:r>
        <w:rPr>
          <w:rFonts w:ascii="仿宋" w:eastAsia="仿宋" w:hAnsi="仿宋" w:hint="eastAsia"/>
          <w:b/>
          <w:sz w:val="36"/>
          <w:szCs w:val="36"/>
        </w:rPr>
        <w:t>毕业生免试攻读硕士学位研究生实施办法</w:t>
      </w:r>
      <w:r w:rsidR="00E60BC4">
        <w:rPr>
          <w:rFonts w:ascii="仿宋" w:eastAsia="仿宋" w:hAnsi="仿宋" w:hint="eastAsia"/>
          <w:b/>
          <w:sz w:val="36"/>
          <w:szCs w:val="36"/>
        </w:rPr>
        <w:t>（暂行）</w:t>
      </w:r>
    </w:p>
    <w:p w14:paraId="6E61E201" w14:textId="6F67153D" w:rsidR="00A168DB" w:rsidRDefault="00A168DB">
      <w:pPr>
        <w:spacing w:line="520" w:lineRule="exact"/>
        <w:rPr>
          <w:rFonts w:ascii="仿宋" w:eastAsia="仿宋" w:hAnsi="仿宋"/>
          <w:sz w:val="36"/>
          <w:szCs w:val="36"/>
        </w:rPr>
      </w:pPr>
    </w:p>
    <w:p w14:paraId="3C283806" w14:textId="267DE4A0" w:rsidR="00A168DB" w:rsidRDefault="00000000">
      <w:pPr>
        <w:pStyle w:val="a8"/>
        <w:spacing w:line="520" w:lineRule="exact"/>
        <w:rPr>
          <w:rFonts w:hAnsi="宋体" w:cs="宋体"/>
          <w:kern w:val="0"/>
          <w:lang w:val="zh-CN"/>
        </w:rPr>
      </w:pPr>
      <w:r w:rsidRPr="00A5667F">
        <w:rPr>
          <w:rFonts w:ascii="仿宋" w:eastAsia="仿宋" w:hAnsi="仿宋" w:cs="仿宋"/>
          <w:color w:val="333333"/>
          <w:szCs w:val="32"/>
        </w:rPr>
        <w:t>根据习近平总书记关于教育的重要论述和全国教育大会精神，紧紧围绕立德树人根本任务，按照《全国普通高等学校推荐优秀应届本科毕业生免试攻读硕士学位研究生工作管理办法（试行）》（教学〔2006〕14号）、《教育部办公厅关于进一步加强推荐优秀应届本科毕业生免试攻读研究生工作的通知》（教学厅〔2013〕8号）、《教育部办公厅关于进一步完善推荐优秀应届本科毕业生免试攻读研究生工作办法的通知》（教学厅〔2014〕5号）及我校《北京工商大学推荐优秀应届本科毕业生免试攻读研究生工作管理办法》（北工商校发〔2021〕79号）和《北京工商大学推荐优秀应届本科毕业生免试攻读研究生工作管理办法补充规定》（北工商校发〔2022〕25号）等推免工作文件要求，结合我院实际，开展此项工作。</w:t>
      </w:r>
    </w:p>
    <w:p w14:paraId="6DFA1B2A" w14:textId="77777777" w:rsidR="00A168DB" w:rsidRDefault="00000000">
      <w:pPr>
        <w:pStyle w:val="13"/>
        <w:numPr>
          <w:ilvl w:val="0"/>
          <w:numId w:val="1"/>
        </w:numPr>
        <w:adjustRightInd w:val="0"/>
        <w:spacing w:line="520" w:lineRule="exact"/>
        <w:ind w:firstLineChars="0"/>
        <w:rPr>
          <w:rFonts w:ascii="仿宋" w:eastAsia="仿宋" w:hAnsi="仿宋"/>
          <w:b/>
          <w:bCs/>
          <w:color w:val="000000"/>
          <w:sz w:val="32"/>
          <w:szCs w:val="32"/>
        </w:rPr>
      </w:pPr>
      <w:r>
        <w:rPr>
          <w:rFonts w:ascii="仿宋" w:eastAsia="仿宋" w:hAnsi="仿宋" w:hint="eastAsia"/>
          <w:b/>
          <w:bCs/>
          <w:color w:val="000000"/>
          <w:sz w:val="32"/>
          <w:szCs w:val="32"/>
        </w:rPr>
        <w:t>推荐免试生工作的性质</w:t>
      </w:r>
    </w:p>
    <w:p w14:paraId="2EF1040F" w14:textId="77777777" w:rsidR="00A168DB" w:rsidRPr="00A5667F" w:rsidRDefault="00000000">
      <w:pPr>
        <w:adjustRightInd w:val="0"/>
        <w:spacing w:line="520" w:lineRule="exact"/>
        <w:rPr>
          <w:rFonts w:ascii="仿宋" w:eastAsia="仿宋" w:hAnsi="仿宋" w:cs="仿宋"/>
          <w:color w:val="333333"/>
          <w:sz w:val="32"/>
          <w:szCs w:val="32"/>
        </w:rPr>
      </w:pPr>
      <w:r>
        <w:rPr>
          <w:rFonts w:ascii="仿宋" w:eastAsia="仿宋" w:hAnsi="仿宋" w:hint="eastAsia"/>
          <w:color w:val="000000"/>
          <w:sz w:val="32"/>
          <w:szCs w:val="32"/>
        </w:rPr>
        <w:t xml:space="preserve">   </w:t>
      </w:r>
      <w:r w:rsidRPr="00A5667F">
        <w:rPr>
          <w:rFonts w:ascii="仿宋" w:eastAsia="仿宋" w:hAnsi="仿宋" w:cs="仿宋" w:hint="eastAsia"/>
          <w:color w:val="333333"/>
          <w:sz w:val="32"/>
          <w:szCs w:val="32"/>
        </w:rPr>
        <w:t>（一）推荐优秀应届本科毕业生免试攻读研究生（以下简称推免）是研究生多元招生体系的重要组成部分，是加强拔尖创新人才选拔，提高研究生招生质量的重要举措，也是促进和激励在校本科生勤奋学习、全面发展的有效机制。</w:t>
      </w:r>
      <w:r w:rsidRPr="00A5667F">
        <w:rPr>
          <w:rFonts w:ascii="仿宋" w:eastAsia="仿宋" w:hAnsi="仿宋" w:cs="仿宋"/>
          <w:color w:val="333333"/>
          <w:sz w:val="32"/>
          <w:szCs w:val="32"/>
        </w:rPr>
        <w:t xml:space="preserve"> </w:t>
      </w:r>
    </w:p>
    <w:p w14:paraId="6F357934" w14:textId="77777777" w:rsidR="00A168DB" w:rsidRPr="00A5667F" w:rsidRDefault="00000000">
      <w:pPr>
        <w:pStyle w:val="a8"/>
        <w:spacing w:line="520" w:lineRule="exact"/>
        <w:rPr>
          <w:rFonts w:ascii="仿宋" w:eastAsia="仿宋" w:hAnsi="仿宋" w:cs="仿宋"/>
          <w:color w:val="000000"/>
          <w:szCs w:val="32"/>
        </w:rPr>
      </w:pPr>
      <w:r w:rsidRPr="00A5667F">
        <w:rPr>
          <w:rFonts w:ascii="仿宋" w:eastAsia="仿宋" w:hAnsi="仿宋" w:cs="仿宋" w:hint="eastAsia"/>
          <w:color w:val="000000"/>
          <w:szCs w:val="32"/>
        </w:rPr>
        <w:t>（二）</w:t>
      </w:r>
      <w:r w:rsidRPr="00A5667F">
        <w:rPr>
          <w:rFonts w:ascii="仿宋" w:eastAsia="仿宋" w:hAnsi="仿宋" w:cs="仿宋" w:hint="eastAsia"/>
          <w:color w:val="333333"/>
          <w:szCs w:val="32"/>
        </w:rPr>
        <w:t>依据本办法推荐的优秀应届本科毕业生须具有北京工商大学普通高等学历教育正式学籍，并接受学校普通高等学历教育管理的全日制本科生，不含专升本、第二学士学</w:t>
      </w:r>
      <w:r w:rsidRPr="00A5667F">
        <w:rPr>
          <w:rFonts w:ascii="仿宋" w:eastAsia="仿宋" w:hAnsi="仿宋" w:cs="仿宋" w:hint="eastAsia"/>
          <w:color w:val="333333"/>
          <w:szCs w:val="32"/>
        </w:rPr>
        <w:lastRenderedPageBreak/>
        <w:t>位以及独立学院学生。</w:t>
      </w:r>
    </w:p>
    <w:p w14:paraId="7177C436" w14:textId="77777777" w:rsidR="00A168DB" w:rsidRDefault="00000000">
      <w:pPr>
        <w:pStyle w:val="13"/>
        <w:numPr>
          <w:ilvl w:val="0"/>
          <w:numId w:val="1"/>
        </w:numPr>
        <w:adjustRightInd w:val="0"/>
        <w:spacing w:line="520" w:lineRule="exact"/>
        <w:ind w:firstLineChars="0"/>
        <w:rPr>
          <w:rFonts w:ascii="仿宋" w:eastAsia="仿宋" w:hAnsi="仿宋"/>
          <w:b/>
          <w:bCs/>
          <w:color w:val="000000"/>
          <w:sz w:val="32"/>
          <w:szCs w:val="32"/>
        </w:rPr>
      </w:pPr>
      <w:r>
        <w:rPr>
          <w:rFonts w:ascii="仿宋" w:eastAsia="仿宋" w:hAnsi="仿宋"/>
          <w:b/>
          <w:bCs/>
          <w:color w:val="000000"/>
          <w:sz w:val="32"/>
          <w:szCs w:val="32"/>
        </w:rPr>
        <w:t>推荐免试生遴选原则和条件</w:t>
      </w:r>
    </w:p>
    <w:p w14:paraId="1AAF436E" w14:textId="77777777" w:rsidR="00A168DB" w:rsidRPr="00A5667F" w:rsidRDefault="00000000" w:rsidP="00A5667F">
      <w:pPr>
        <w:pStyle w:val="a6"/>
        <w:widowControl/>
        <w:adjustRightInd w:val="0"/>
        <w:spacing w:before="156" w:after="156" w:line="520" w:lineRule="exact"/>
        <w:ind w:firstLine="688"/>
        <w:rPr>
          <w:rFonts w:ascii="仿宋" w:eastAsia="仿宋" w:hAnsi="仿宋"/>
          <w:color w:val="000000"/>
          <w:sz w:val="32"/>
          <w:szCs w:val="32"/>
          <w:lang w:val="zh-CN"/>
        </w:rPr>
      </w:pPr>
      <w:r w:rsidRPr="00A5667F">
        <w:rPr>
          <w:rFonts w:ascii="仿宋" w:eastAsia="仿宋" w:hAnsi="仿宋"/>
          <w:color w:val="000000"/>
          <w:sz w:val="32"/>
          <w:szCs w:val="32"/>
          <w:lang w:val="zh-CN"/>
        </w:rPr>
        <w:t>（一）遴选原则</w:t>
      </w:r>
    </w:p>
    <w:p w14:paraId="50BA9785" w14:textId="4A371AC4" w:rsidR="00A168DB" w:rsidRPr="00A5667F" w:rsidRDefault="00000000" w:rsidP="00A5667F">
      <w:pPr>
        <w:pStyle w:val="a6"/>
        <w:widowControl/>
        <w:adjustRightInd w:val="0"/>
        <w:spacing w:before="156" w:after="156" w:line="520" w:lineRule="exact"/>
        <w:ind w:firstLine="688"/>
        <w:rPr>
          <w:rFonts w:ascii="仿宋" w:eastAsia="仿宋" w:hAnsi="仿宋"/>
          <w:color w:val="000000"/>
          <w:sz w:val="32"/>
          <w:szCs w:val="32"/>
          <w:lang w:val="zh-CN"/>
        </w:rPr>
      </w:pPr>
      <w:r w:rsidRPr="00A5667F">
        <w:rPr>
          <w:rFonts w:ascii="仿宋" w:eastAsia="仿宋" w:hAnsi="仿宋"/>
          <w:color w:val="000000"/>
          <w:sz w:val="32"/>
          <w:szCs w:val="32"/>
          <w:lang w:val="zh-CN"/>
        </w:rPr>
        <w:t>1.推荐免试攻读研究生工作（以下简称推免工作）遵循公开、公平、公正的原则，坚持德智体美劳全面衡量，以德为先，把学生思想品德考核作为推免遴选的首要依据。</w:t>
      </w:r>
    </w:p>
    <w:p w14:paraId="2153AAE0" w14:textId="0293C154" w:rsidR="00A168DB" w:rsidRPr="00A5667F" w:rsidRDefault="00000000" w:rsidP="00A5667F">
      <w:pPr>
        <w:pStyle w:val="a6"/>
        <w:widowControl/>
        <w:adjustRightInd w:val="0"/>
        <w:spacing w:before="156" w:after="156" w:line="520" w:lineRule="exact"/>
        <w:ind w:firstLine="688"/>
        <w:rPr>
          <w:rFonts w:ascii="仿宋" w:eastAsia="仿宋" w:hAnsi="仿宋"/>
          <w:color w:val="000000"/>
          <w:sz w:val="32"/>
          <w:szCs w:val="32"/>
          <w:lang w:val="zh-CN"/>
        </w:rPr>
      </w:pPr>
      <w:r w:rsidRPr="00A5667F">
        <w:rPr>
          <w:rFonts w:ascii="仿宋" w:eastAsia="仿宋" w:hAnsi="仿宋"/>
          <w:color w:val="000000"/>
          <w:sz w:val="32"/>
          <w:szCs w:val="32"/>
          <w:lang w:val="zh-CN"/>
        </w:rPr>
        <w:t>2.本科阶段学业成绩为基础性遴选指标。以平均学分绩点和全国大学生外语等级测试</w:t>
      </w:r>
      <w:r w:rsidR="00A43BB4">
        <w:rPr>
          <w:rFonts w:ascii="仿宋" w:eastAsia="仿宋" w:hAnsi="仿宋" w:hint="eastAsia"/>
          <w:color w:val="000000"/>
          <w:sz w:val="32"/>
          <w:szCs w:val="32"/>
          <w:lang w:val="zh-CN"/>
        </w:rPr>
        <w:t>做</w:t>
      </w:r>
      <w:r w:rsidRPr="00A5667F">
        <w:rPr>
          <w:rFonts w:ascii="仿宋" w:eastAsia="仿宋" w:hAnsi="仿宋"/>
          <w:color w:val="000000"/>
          <w:sz w:val="32"/>
          <w:szCs w:val="32"/>
          <w:lang w:val="zh-CN"/>
        </w:rPr>
        <w:t>为核心、基础性遴选指标，在满足上述条件下方可进入遴选范围。</w:t>
      </w:r>
      <w:bookmarkStart w:id="0" w:name="OLE_LINK5"/>
      <w:bookmarkStart w:id="1" w:name="OLE_LINK4"/>
      <w:bookmarkEnd w:id="0"/>
      <w:bookmarkEnd w:id="1"/>
      <w:r w:rsidRPr="00A5667F">
        <w:rPr>
          <w:rFonts w:ascii="仿宋" w:eastAsia="仿宋" w:hAnsi="仿宋"/>
          <w:color w:val="000000"/>
          <w:sz w:val="32"/>
          <w:szCs w:val="32"/>
          <w:lang w:val="zh-CN"/>
        </w:rPr>
        <w:t>进入遴选范围的学生通过学分绩点、竞赛加分、科研加分和综合评测加权进行排序。</w:t>
      </w:r>
    </w:p>
    <w:p w14:paraId="51F04C67" w14:textId="648C42B2" w:rsidR="00A168DB" w:rsidRDefault="00000000" w:rsidP="00A5667F">
      <w:pPr>
        <w:pStyle w:val="a6"/>
        <w:adjustRightInd w:val="0"/>
        <w:spacing w:line="520" w:lineRule="exact"/>
        <w:ind w:firstLineChars="224" w:firstLine="717"/>
        <w:rPr>
          <w:rFonts w:ascii="仿宋" w:eastAsia="仿宋" w:hAnsi="仿宋"/>
          <w:color w:val="000000"/>
          <w:sz w:val="32"/>
          <w:szCs w:val="32"/>
          <w:lang w:val="zh-CN"/>
        </w:rPr>
      </w:pPr>
      <w:r w:rsidRPr="00A5667F">
        <w:rPr>
          <w:rFonts w:ascii="仿宋" w:eastAsia="仿宋" w:hAnsi="仿宋" w:hint="eastAsia"/>
          <w:color w:val="000000"/>
          <w:sz w:val="32"/>
          <w:szCs w:val="32"/>
          <w:lang w:val="zh-CN"/>
        </w:rPr>
        <w:t>（</w:t>
      </w:r>
      <w:r w:rsidRPr="00A5667F">
        <w:rPr>
          <w:rFonts w:ascii="仿宋" w:eastAsia="仿宋" w:hAnsi="仿宋"/>
          <w:color w:val="000000"/>
          <w:sz w:val="32"/>
          <w:szCs w:val="32"/>
          <w:lang w:val="zh-CN"/>
        </w:rPr>
        <w:t>二</w:t>
      </w:r>
      <w:r w:rsidRPr="00A5667F">
        <w:rPr>
          <w:rFonts w:ascii="仿宋" w:eastAsia="仿宋" w:hAnsi="仿宋" w:hint="eastAsia"/>
          <w:color w:val="000000"/>
          <w:sz w:val="32"/>
          <w:szCs w:val="32"/>
          <w:lang w:val="zh-CN"/>
        </w:rPr>
        <w:t>）</w:t>
      </w:r>
      <w:r w:rsidRPr="00A5667F">
        <w:rPr>
          <w:rFonts w:ascii="仿宋" w:eastAsia="仿宋" w:hAnsi="仿宋"/>
          <w:color w:val="000000"/>
          <w:sz w:val="32"/>
          <w:szCs w:val="32"/>
          <w:lang w:val="zh-CN"/>
        </w:rPr>
        <w:t>遴选</w:t>
      </w:r>
      <w:r w:rsidRPr="00A5667F">
        <w:rPr>
          <w:rFonts w:ascii="仿宋" w:eastAsia="仿宋" w:hAnsi="仿宋" w:hint="eastAsia"/>
          <w:color w:val="000000"/>
          <w:sz w:val="32"/>
          <w:szCs w:val="32"/>
          <w:lang w:val="zh-CN"/>
        </w:rPr>
        <w:t>条件：</w:t>
      </w:r>
    </w:p>
    <w:p w14:paraId="73E79807" w14:textId="7804E5C9" w:rsidR="006A680C" w:rsidRPr="00A5667F" w:rsidRDefault="006A680C" w:rsidP="006A680C">
      <w:pPr>
        <w:pStyle w:val="a6"/>
        <w:widowControl/>
        <w:adjustRightInd w:val="0"/>
        <w:spacing w:before="156" w:after="156" w:line="520" w:lineRule="exact"/>
        <w:ind w:firstLine="688"/>
        <w:rPr>
          <w:rFonts w:ascii="仿宋" w:eastAsia="仿宋" w:hAnsi="仿宋"/>
          <w:color w:val="000000"/>
          <w:sz w:val="32"/>
          <w:szCs w:val="32"/>
          <w:lang w:val="zh-CN"/>
        </w:rPr>
      </w:pPr>
      <w:r w:rsidRPr="006A680C">
        <w:rPr>
          <w:rFonts w:ascii="仿宋" w:eastAsia="仿宋" w:hAnsi="仿宋" w:hint="eastAsia"/>
          <w:color w:val="000000"/>
          <w:sz w:val="32"/>
          <w:szCs w:val="32"/>
          <w:lang w:val="zh-CN"/>
        </w:rPr>
        <w:t>申请的推免生应具备下列全部条件：</w:t>
      </w:r>
    </w:p>
    <w:p w14:paraId="0AAFDE11" w14:textId="77777777" w:rsidR="00A168DB" w:rsidRPr="00A5667F" w:rsidRDefault="00000000" w:rsidP="00A5667F">
      <w:pPr>
        <w:pStyle w:val="a6"/>
        <w:widowControl/>
        <w:adjustRightInd w:val="0"/>
        <w:spacing w:before="156" w:after="156" w:line="520" w:lineRule="exact"/>
        <w:ind w:firstLine="688"/>
        <w:rPr>
          <w:rFonts w:ascii="仿宋" w:eastAsia="仿宋" w:hAnsi="仿宋"/>
          <w:color w:val="000000"/>
          <w:sz w:val="32"/>
          <w:szCs w:val="32"/>
          <w:lang w:val="zh-CN"/>
        </w:rPr>
      </w:pPr>
      <w:r w:rsidRPr="00A5667F">
        <w:rPr>
          <w:rFonts w:ascii="仿宋" w:eastAsia="仿宋" w:hAnsi="仿宋"/>
          <w:color w:val="000000"/>
          <w:sz w:val="32"/>
          <w:szCs w:val="32"/>
          <w:lang w:val="zh-CN"/>
        </w:rPr>
        <w:t>1.参加推免遴选的学生必须是纳入国家普通本科招生计划录取的应届毕业生（不含专升本、第二学士学位、贯通培养或独立学院学生）。</w:t>
      </w:r>
    </w:p>
    <w:p w14:paraId="17E6F311" w14:textId="77777777" w:rsidR="00A168DB" w:rsidRPr="00A5667F" w:rsidRDefault="00000000" w:rsidP="00A5667F">
      <w:pPr>
        <w:pStyle w:val="a6"/>
        <w:widowControl/>
        <w:adjustRightInd w:val="0"/>
        <w:spacing w:before="156" w:after="156" w:line="520" w:lineRule="exact"/>
        <w:ind w:firstLine="688"/>
        <w:rPr>
          <w:rFonts w:ascii="仿宋" w:eastAsia="仿宋" w:hAnsi="仿宋"/>
          <w:color w:val="000000"/>
          <w:sz w:val="32"/>
          <w:szCs w:val="32"/>
          <w:lang w:val="zh-CN"/>
        </w:rPr>
      </w:pPr>
      <w:r w:rsidRPr="00A5667F">
        <w:rPr>
          <w:rFonts w:ascii="仿宋" w:eastAsia="仿宋" w:hAnsi="仿宋"/>
          <w:color w:val="000000"/>
          <w:sz w:val="32"/>
          <w:szCs w:val="32"/>
          <w:lang w:val="zh-CN"/>
        </w:rPr>
        <w:t>2.爱国守法，无任何违法违纪受处分记录；思想品德优良，思想品德不合格者一票否决，不予推荐。</w:t>
      </w:r>
    </w:p>
    <w:p w14:paraId="12079232" w14:textId="08405918" w:rsidR="00A168DB" w:rsidRPr="00A5667F" w:rsidRDefault="00000000" w:rsidP="00A5667F">
      <w:pPr>
        <w:pStyle w:val="a6"/>
        <w:widowControl/>
        <w:adjustRightInd w:val="0"/>
        <w:spacing w:before="156" w:after="156" w:line="520" w:lineRule="exact"/>
        <w:ind w:firstLine="688"/>
        <w:rPr>
          <w:rFonts w:ascii="仿宋" w:eastAsia="仿宋" w:hAnsi="仿宋"/>
          <w:color w:val="000000"/>
          <w:sz w:val="32"/>
          <w:szCs w:val="32"/>
          <w:lang w:val="zh-CN"/>
        </w:rPr>
      </w:pPr>
      <w:r w:rsidRPr="00A5667F">
        <w:rPr>
          <w:rFonts w:ascii="仿宋" w:eastAsia="仿宋" w:hAnsi="仿宋"/>
          <w:color w:val="000000"/>
          <w:sz w:val="32"/>
          <w:szCs w:val="32"/>
          <w:lang w:val="zh-CN"/>
        </w:rPr>
        <w:t>3.获得本人所在专业年级培养方案中前三年的必修课程学分并预计能够按时取得毕业、学位证书；</w:t>
      </w:r>
      <w:r w:rsidR="00A43BB4">
        <w:rPr>
          <w:rFonts w:ascii="仿宋" w:eastAsia="仿宋" w:hAnsi="仿宋" w:hint="eastAsia"/>
          <w:color w:val="000000"/>
          <w:sz w:val="32"/>
          <w:szCs w:val="32"/>
          <w:lang w:val="zh-CN"/>
        </w:rPr>
        <w:t>前三学年</w:t>
      </w:r>
      <w:r w:rsidRPr="00A5667F">
        <w:rPr>
          <w:rFonts w:ascii="仿宋" w:eastAsia="仿宋" w:hAnsi="仿宋"/>
          <w:color w:val="000000"/>
          <w:sz w:val="32"/>
          <w:szCs w:val="32"/>
          <w:lang w:val="zh-CN"/>
        </w:rPr>
        <w:t>所修全部课程的平均学分绩点（GPA）不低于3.5。</w:t>
      </w:r>
    </w:p>
    <w:p w14:paraId="4780326C" w14:textId="7FB9C284" w:rsidR="00A168DB" w:rsidRDefault="00000000" w:rsidP="00A5667F">
      <w:pPr>
        <w:pStyle w:val="a6"/>
        <w:widowControl/>
        <w:adjustRightInd w:val="0"/>
        <w:spacing w:before="156" w:after="156" w:line="520" w:lineRule="exact"/>
        <w:ind w:firstLine="688"/>
        <w:rPr>
          <w:rFonts w:ascii="仿宋" w:eastAsia="仿宋" w:hAnsi="仿宋"/>
          <w:color w:val="000000"/>
          <w:sz w:val="32"/>
          <w:szCs w:val="32"/>
        </w:rPr>
      </w:pPr>
      <w:r w:rsidRPr="00A5667F">
        <w:rPr>
          <w:rFonts w:ascii="仿宋" w:eastAsia="仿宋" w:hAnsi="仿宋"/>
          <w:color w:val="000000"/>
          <w:sz w:val="32"/>
          <w:szCs w:val="32"/>
          <w:lang w:val="zh-CN"/>
        </w:rPr>
        <w:lastRenderedPageBreak/>
        <w:t>4.全国大学生英语等级考试六级考试成绩达到425（含）以上或</w:t>
      </w:r>
      <w:r w:rsidR="00A43BB4" w:rsidRPr="00A5667F">
        <w:rPr>
          <w:rFonts w:ascii="仿宋" w:eastAsia="仿宋" w:hAnsi="仿宋"/>
          <w:color w:val="000000"/>
          <w:sz w:val="32"/>
          <w:szCs w:val="32"/>
          <w:lang w:val="zh-CN"/>
        </w:rPr>
        <w:t>四级</w:t>
      </w:r>
      <w:r w:rsidRPr="00A5667F">
        <w:rPr>
          <w:rFonts w:ascii="仿宋" w:eastAsia="仿宋" w:hAnsi="仿宋"/>
          <w:color w:val="000000"/>
          <w:sz w:val="32"/>
          <w:szCs w:val="32"/>
          <w:lang w:val="zh-CN"/>
        </w:rPr>
        <w:t>达到500分以上；外语语种为日语或俄语的，成绩达到国家四级70分（含）以上</w:t>
      </w:r>
      <w:r>
        <w:rPr>
          <w:rFonts w:ascii="仿宋" w:eastAsia="仿宋" w:hAnsi="仿宋"/>
          <w:color w:val="000000"/>
          <w:sz w:val="32"/>
          <w:szCs w:val="32"/>
        </w:rPr>
        <w:t>。</w:t>
      </w:r>
    </w:p>
    <w:p w14:paraId="1C1B4429" w14:textId="79D4ED34" w:rsidR="00A168DB" w:rsidRPr="00A5667F" w:rsidRDefault="00000000" w:rsidP="00A5667F">
      <w:pPr>
        <w:pStyle w:val="a6"/>
        <w:widowControl/>
        <w:adjustRightInd w:val="0"/>
        <w:spacing w:before="156" w:after="156" w:line="520" w:lineRule="exact"/>
        <w:ind w:firstLine="688"/>
        <w:rPr>
          <w:rFonts w:ascii="仿宋" w:eastAsia="仿宋" w:hAnsi="仿宋"/>
          <w:color w:val="000000"/>
          <w:sz w:val="32"/>
          <w:szCs w:val="32"/>
          <w:lang w:val="zh-CN"/>
        </w:rPr>
      </w:pPr>
      <w:r w:rsidRPr="00A5667F">
        <w:rPr>
          <w:rFonts w:ascii="仿宋" w:eastAsia="仿宋" w:hAnsi="仿宋"/>
          <w:color w:val="000000"/>
          <w:sz w:val="32"/>
          <w:szCs w:val="32"/>
          <w:lang w:val="zh-CN"/>
        </w:rPr>
        <w:t>5.学生获得学科竞赛奖励、</w:t>
      </w:r>
      <w:r w:rsidR="006A680C">
        <w:rPr>
          <w:rFonts w:ascii="仿宋" w:eastAsia="仿宋" w:hAnsi="仿宋" w:hint="eastAsia"/>
          <w:color w:val="000000"/>
          <w:sz w:val="32"/>
          <w:szCs w:val="32"/>
          <w:lang w:val="zh-CN"/>
        </w:rPr>
        <w:t>已被认定的</w:t>
      </w:r>
      <w:r w:rsidRPr="00A5667F">
        <w:rPr>
          <w:rFonts w:ascii="仿宋" w:eastAsia="仿宋" w:hAnsi="仿宋"/>
          <w:color w:val="000000"/>
          <w:sz w:val="32"/>
          <w:szCs w:val="32"/>
          <w:lang w:val="zh-CN"/>
        </w:rPr>
        <w:t>科研成果可在推免过程中予以加分，</w:t>
      </w:r>
      <w:r w:rsidR="006A680C">
        <w:rPr>
          <w:rFonts w:ascii="仿宋" w:eastAsia="仿宋" w:hAnsi="仿宋" w:hint="eastAsia"/>
          <w:color w:val="000000"/>
          <w:sz w:val="32"/>
          <w:szCs w:val="32"/>
          <w:lang w:val="zh-CN"/>
        </w:rPr>
        <w:t>加分细则</w:t>
      </w:r>
      <w:r w:rsidRPr="00A5667F">
        <w:rPr>
          <w:rFonts w:ascii="仿宋" w:eastAsia="仿宋" w:hAnsi="仿宋"/>
          <w:color w:val="000000"/>
          <w:sz w:val="32"/>
          <w:szCs w:val="32"/>
          <w:lang w:val="zh-CN"/>
        </w:rPr>
        <w:t>参见学校相关制度。</w:t>
      </w:r>
    </w:p>
    <w:p w14:paraId="5D129416" w14:textId="77777777" w:rsidR="00A168DB" w:rsidRPr="00A5667F" w:rsidRDefault="00000000" w:rsidP="00A5667F">
      <w:pPr>
        <w:pStyle w:val="a6"/>
        <w:widowControl/>
        <w:adjustRightInd w:val="0"/>
        <w:spacing w:before="156" w:after="156" w:line="520" w:lineRule="exact"/>
        <w:ind w:firstLine="688"/>
        <w:rPr>
          <w:rFonts w:ascii="仿宋" w:eastAsia="仿宋" w:hAnsi="仿宋"/>
          <w:color w:val="000000"/>
          <w:sz w:val="32"/>
          <w:szCs w:val="32"/>
          <w:lang w:val="zh-CN"/>
        </w:rPr>
      </w:pPr>
      <w:r w:rsidRPr="00A5667F">
        <w:rPr>
          <w:rFonts w:ascii="仿宋" w:eastAsia="仿宋" w:hAnsi="仿宋"/>
          <w:color w:val="000000"/>
          <w:sz w:val="32"/>
          <w:szCs w:val="32"/>
          <w:lang w:val="zh-CN"/>
        </w:rPr>
        <w:t>6.推荐免试研究生的综合成绩计算及排序方法如下：综合成绩=平均学分绩点*85%+学科竞赛获奖加分*5%+已认定的科研成果加分*5%+三年平均德智体美劳综合测评成绩（百分制换算成五分制后）*5%（计算结果保留小数点后两位并且四舍五入）。综合成绩总分不设上限，同一专业推免生按照上述公式计算综合成绩后在学院内排序。</w:t>
      </w:r>
    </w:p>
    <w:p w14:paraId="2CC7FCDD" w14:textId="7A8BE033" w:rsidR="00A168DB" w:rsidRDefault="00000000" w:rsidP="00A5667F">
      <w:pPr>
        <w:pStyle w:val="a6"/>
        <w:widowControl/>
        <w:adjustRightInd w:val="0"/>
        <w:spacing w:before="156" w:after="156" w:line="520" w:lineRule="exact"/>
        <w:ind w:firstLine="688"/>
        <w:rPr>
          <w:rFonts w:ascii="宋体" w:hAnsi="宋体" w:cs="宋体"/>
          <w:color w:val="333333"/>
          <w:szCs w:val="24"/>
        </w:rPr>
      </w:pPr>
      <w:r w:rsidRPr="00A5667F">
        <w:rPr>
          <w:rFonts w:ascii="仿宋" w:eastAsia="仿宋" w:hAnsi="仿宋"/>
          <w:color w:val="000000"/>
          <w:sz w:val="32"/>
          <w:szCs w:val="32"/>
          <w:lang w:val="zh-CN"/>
        </w:rPr>
        <w:t>7.双培学生</w:t>
      </w:r>
      <w:r w:rsidR="006A680C">
        <w:rPr>
          <w:rFonts w:ascii="仿宋" w:eastAsia="仿宋" w:hAnsi="仿宋" w:hint="eastAsia"/>
          <w:color w:val="000000"/>
          <w:sz w:val="32"/>
          <w:szCs w:val="32"/>
          <w:lang w:val="zh-CN"/>
        </w:rPr>
        <w:t>综合成绩计算方法同上，班级</w:t>
      </w:r>
      <w:r w:rsidR="00623004">
        <w:rPr>
          <w:rFonts w:ascii="仿宋" w:eastAsia="仿宋" w:hAnsi="仿宋" w:hint="eastAsia"/>
          <w:color w:val="000000"/>
          <w:sz w:val="32"/>
          <w:szCs w:val="32"/>
          <w:lang w:val="zh-CN"/>
        </w:rPr>
        <w:t>单独排序</w:t>
      </w:r>
      <w:r w:rsidRPr="00A5667F">
        <w:rPr>
          <w:rFonts w:ascii="仿宋_GB2312" w:eastAsia="仿宋_GB2312" w:hAnsi="宋体" w:cs="宋体"/>
          <w:color w:val="333333"/>
          <w:kern w:val="0"/>
          <w:sz w:val="32"/>
          <w:szCs w:val="24"/>
          <w:lang w:val="zh-CN"/>
        </w:rPr>
        <w:t>。</w:t>
      </w:r>
    </w:p>
    <w:p w14:paraId="29AB6B96" w14:textId="77777777" w:rsidR="00A168DB" w:rsidRPr="00BA6115" w:rsidRDefault="00000000" w:rsidP="00A5667F">
      <w:pPr>
        <w:pStyle w:val="13"/>
        <w:numPr>
          <w:ilvl w:val="0"/>
          <w:numId w:val="1"/>
        </w:numPr>
        <w:spacing w:line="520" w:lineRule="exact"/>
        <w:ind w:firstLineChars="0"/>
        <w:jc w:val="left"/>
        <w:rPr>
          <w:rFonts w:ascii="仿宋" w:eastAsia="仿宋" w:hAnsi="仿宋"/>
          <w:b/>
          <w:bCs/>
          <w:color w:val="000000"/>
          <w:sz w:val="32"/>
          <w:szCs w:val="32"/>
        </w:rPr>
      </w:pPr>
      <w:r w:rsidRPr="00BA6115">
        <w:rPr>
          <w:rFonts w:ascii="仿宋" w:eastAsia="仿宋" w:hAnsi="仿宋" w:hint="eastAsia"/>
          <w:b/>
          <w:bCs/>
          <w:color w:val="000000"/>
          <w:sz w:val="32"/>
          <w:szCs w:val="32"/>
        </w:rPr>
        <w:t>推荐免试生名额的分配</w:t>
      </w:r>
    </w:p>
    <w:p w14:paraId="304B1C41" w14:textId="0A8A70B9" w:rsidR="00A168DB" w:rsidRDefault="00000000">
      <w:pPr>
        <w:autoSpaceDE w:val="0"/>
        <w:autoSpaceDN w:val="0"/>
        <w:adjustRightInd w:val="0"/>
        <w:snapToGrid w:val="0"/>
        <w:spacing w:line="560" w:lineRule="exact"/>
        <w:ind w:firstLineChars="200" w:firstLine="640"/>
        <w:rPr>
          <w:rFonts w:ascii="仿宋_GB2312" w:eastAsia="仿宋_GB2312" w:hAnsi="宋体" w:cs="宋体"/>
          <w:kern w:val="0"/>
          <w:sz w:val="32"/>
          <w:szCs w:val="24"/>
          <w:lang w:val="zh-CN"/>
        </w:rPr>
      </w:pPr>
      <w:r>
        <w:rPr>
          <w:rFonts w:ascii="仿宋_GB2312" w:eastAsia="仿宋_GB2312" w:hAnsi="宋体" w:cs="宋体" w:hint="eastAsia"/>
          <w:kern w:val="0"/>
          <w:sz w:val="32"/>
          <w:szCs w:val="24"/>
          <w:lang w:val="zh-CN"/>
        </w:rPr>
        <w:t>教务处、学生处根据教育部下达学校推荐免试生的控制名额，重点向基础学科以及国家战略和民生领域急需的相关学科和专业学位类别倾斜</w:t>
      </w:r>
      <w:r w:rsidR="006A680C">
        <w:rPr>
          <w:rFonts w:ascii="仿宋_GB2312" w:eastAsia="仿宋_GB2312" w:hAnsi="宋体" w:cs="宋体" w:hint="eastAsia"/>
          <w:kern w:val="0"/>
          <w:sz w:val="32"/>
          <w:szCs w:val="24"/>
          <w:lang w:val="zh-CN"/>
        </w:rPr>
        <w:t>。</w:t>
      </w:r>
      <w:r>
        <w:rPr>
          <w:rFonts w:ascii="仿宋_GB2312" w:eastAsia="仿宋_GB2312" w:hAnsi="宋体" w:cs="宋体" w:hint="eastAsia"/>
          <w:kern w:val="0"/>
          <w:sz w:val="32"/>
          <w:szCs w:val="24"/>
          <w:lang w:val="zh-CN"/>
        </w:rPr>
        <w:t>结合学院应届本科毕业生人数、上学年硕士招生数、近三年考研、保研情况和推免工作基础等有关原则和因素初步进行指标分配</w:t>
      </w:r>
      <w:r>
        <w:rPr>
          <w:rFonts w:ascii="仿宋" w:eastAsia="仿宋" w:hAnsi="仿宋" w:hint="eastAsia"/>
          <w:color w:val="000000"/>
          <w:sz w:val="32"/>
          <w:szCs w:val="32"/>
        </w:rPr>
        <w:t>，本次商学院的直接推荐免试生名额共</w:t>
      </w:r>
      <w:r>
        <w:rPr>
          <w:rFonts w:ascii="仿宋" w:eastAsia="仿宋" w:hAnsi="仿宋"/>
          <w:color w:val="000000"/>
          <w:sz w:val="32"/>
          <w:szCs w:val="32"/>
        </w:rPr>
        <w:t>31</w:t>
      </w:r>
      <w:r>
        <w:rPr>
          <w:rFonts w:ascii="仿宋_GB2312" w:eastAsia="仿宋_GB2312" w:hAnsi="宋体" w:cs="宋体" w:hint="eastAsia"/>
          <w:kern w:val="0"/>
          <w:sz w:val="32"/>
          <w:szCs w:val="24"/>
          <w:lang w:val="zh-CN"/>
        </w:rPr>
        <w:t>个</w:t>
      </w:r>
      <w:r w:rsidR="00994930">
        <w:rPr>
          <w:rFonts w:ascii="仿宋_GB2312" w:eastAsia="仿宋_GB2312" w:hAnsi="宋体" w:cs="宋体" w:hint="eastAsia"/>
          <w:kern w:val="0"/>
          <w:sz w:val="32"/>
          <w:szCs w:val="24"/>
          <w:lang w:val="zh-CN"/>
        </w:rPr>
        <w:t>，</w:t>
      </w:r>
      <w:r>
        <w:rPr>
          <w:rFonts w:ascii="仿宋_GB2312" w:eastAsia="仿宋_GB2312" w:hAnsi="宋体" w:cs="宋体" w:hint="eastAsia"/>
          <w:kern w:val="0"/>
          <w:sz w:val="32"/>
          <w:szCs w:val="24"/>
        </w:rPr>
        <w:t>其中基础指标27个（包含工商双培和会计双培各1个）、国家级一流本科专业建设点名额4个（会计学、财务管理、工商管理和</w:t>
      </w:r>
      <w:r>
        <w:rPr>
          <w:rFonts w:ascii="仿宋_GB2312" w:eastAsia="仿宋_GB2312" w:hAnsi="宋体" w:cs="宋体"/>
          <w:kern w:val="0"/>
          <w:sz w:val="32"/>
          <w:szCs w:val="24"/>
        </w:rPr>
        <w:t>市场</w:t>
      </w:r>
      <w:r>
        <w:rPr>
          <w:rFonts w:ascii="仿宋_GB2312" w:eastAsia="仿宋_GB2312" w:hAnsi="宋体" w:cs="宋体" w:hint="eastAsia"/>
          <w:kern w:val="0"/>
          <w:sz w:val="32"/>
          <w:szCs w:val="24"/>
        </w:rPr>
        <w:t>营销专业各1个</w:t>
      </w:r>
      <w:r>
        <w:rPr>
          <w:rFonts w:ascii="仿宋_GB2312" w:eastAsia="仿宋_GB2312" w:hAnsi="宋体" w:cs="宋体" w:hint="eastAsia"/>
          <w:kern w:val="0"/>
          <w:sz w:val="32"/>
          <w:szCs w:val="24"/>
          <w:lang w:val="zh-CN"/>
        </w:rPr>
        <w:t>）。</w:t>
      </w:r>
    </w:p>
    <w:p w14:paraId="4C87BD62" w14:textId="77777777" w:rsidR="00A168DB" w:rsidRDefault="00000000">
      <w:pPr>
        <w:adjustRightInd w:val="0"/>
        <w:spacing w:line="520" w:lineRule="exact"/>
        <w:ind w:firstLineChars="200" w:firstLine="640"/>
        <w:rPr>
          <w:rFonts w:ascii="仿宋" w:eastAsia="仿宋" w:hAnsi="仿宋"/>
          <w:color w:val="000000"/>
          <w:sz w:val="32"/>
          <w:szCs w:val="32"/>
        </w:rPr>
      </w:pPr>
      <w:r>
        <w:rPr>
          <w:rFonts w:ascii="仿宋_GB2312" w:eastAsia="仿宋_GB2312" w:hAnsi="宋体" w:cs="宋体" w:hint="eastAsia"/>
          <w:kern w:val="0"/>
          <w:sz w:val="32"/>
          <w:szCs w:val="24"/>
          <w:lang w:val="zh-CN"/>
        </w:rPr>
        <w:t>学院按照各专业在校人数将直接推</w:t>
      </w:r>
      <w:r>
        <w:rPr>
          <w:rFonts w:ascii="仿宋" w:eastAsia="仿宋" w:hAnsi="仿宋" w:hint="eastAsia"/>
          <w:color w:val="000000"/>
          <w:sz w:val="32"/>
          <w:szCs w:val="32"/>
        </w:rPr>
        <w:t>免名额分配至各专业，直接推免名额分配方法如下：</w:t>
      </w:r>
    </w:p>
    <w:p w14:paraId="0E79354B" w14:textId="47FCF6C9" w:rsidR="00A168DB" w:rsidRDefault="00000000">
      <w:pPr>
        <w:adjustRightInd w:val="0"/>
        <w:spacing w:line="520" w:lineRule="exact"/>
        <w:ind w:firstLineChars="196" w:firstLine="627"/>
        <w:rPr>
          <w:rFonts w:ascii="仿宋" w:eastAsia="仿宋" w:hAnsi="仿宋"/>
          <w:color w:val="000000"/>
          <w:sz w:val="32"/>
          <w:szCs w:val="32"/>
        </w:rPr>
      </w:pPr>
      <w:r>
        <w:rPr>
          <w:rFonts w:ascii="仿宋" w:eastAsia="仿宋" w:hAnsi="仿宋" w:hint="eastAsia"/>
          <w:color w:val="000000"/>
          <w:sz w:val="32"/>
          <w:szCs w:val="32"/>
        </w:rPr>
        <w:lastRenderedPageBreak/>
        <w:t>（一）各专业推免基数计算方法：商学院本科各专业人数÷商学院201</w:t>
      </w:r>
      <w:r>
        <w:rPr>
          <w:rFonts w:ascii="仿宋" w:eastAsia="仿宋" w:hAnsi="仿宋"/>
          <w:color w:val="000000"/>
          <w:sz w:val="32"/>
          <w:szCs w:val="32"/>
        </w:rPr>
        <w:t>9</w:t>
      </w:r>
      <w:r>
        <w:rPr>
          <w:rFonts w:ascii="仿宋" w:eastAsia="仿宋" w:hAnsi="仿宋" w:hint="eastAsia"/>
          <w:color w:val="000000"/>
          <w:sz w:val="32"/>
          <w:szCs w:val="32"/>
        </w:rPr>
        <w:t>级本科生</w:t>
      </w:r>
      <w:r w:rsidR="001E33EA">
        <w:rPr>
          <w:rFonts w:ascii="仿宋" w:eastAsia="仿宋" w:hAnsi="仿宋" w:hint="eastAsia"/>
          <w:color w:val="000000"/>
          <w:sz w:val="32"/>
          <w:szCs w:val="32"/>
        </w:rPr>
        <w:t>总人数</w:t>
      </w:r>
      <w:r>
        <w:rPr>
          <w:rFonts w:ascii="仿宋" w:eastAsia="仿宋" w:hAnsi="仿宋" w:hint="eastAsia"/>
          <w:color w:val="000000"/>
          <w:sz w:val="32"/>
          <w:szCs w:val="32"/>
        </w:rPr>
        <w:t>×商学院基础指标名额+国</w:t>
      </w:r>
      <w:r>
        <w:rPr>
          <w:rFonts w:ascii="仿宋" w:eastAsia="仿宋" w:hAnsi="仿宋"/>
          <w:color w:val="000000"/>
          <w:sz w:val="32"/>
          <w:szCs w:val="32"/>
        </w:rPr>
        <w:t>家</w:t>
      </w:r>
      <w:r>
        <w:rPr>
          <w:rFonts w:ascii="仿宋" w:eastAsia="仿宋" w:hAnsi="仿宋" w:hint="eastAsia"/>
          <w:color w:val="000000"/>
          <w:sz w:val="32"/>
          <w:szCs w:val="32"/>
        </w:rPr>
        <w:t>级一流本科专业建设点名额。</w:t>
      </w:r>
    </w:p>
    <w:p w14:paraId="5AFE25CF" w14:textId="77777777" w:rsidR="00A168DB" w:rsidRDefault="00000000">
      <w:pPr>
        <w:adjustRightInd w:val="0"/>
        <w:spacing w:line="520" w:lineRule="exact"/>
        <w:ind w:firstLineChars="196" w:firstLine="627"/>
        <w:rPr>
          <w:rFonts w:ascii="仿宋" w:eastAsia="仿宋" w:hAnsi="仿宋"/>
          <w:color w:val="000000"/>
          <w:sz w:val="32"/>
          <w:szCs w:val="32"/>
        </w:rPr>
      </w:pPr>
      <w:r>
        <w:rPr>
          <w:rFonts w:ascii="仿宋" w:eastAsia="仿宋" w:hAnsi="仿宋" w:hint="eastAsia"/>
          <w:color w:val="000000"/>
          <w:sz w:val="32"/>
          <w:szCs w:val="32"/>
        </w:rPr>
        <w:t>（二）各专业推免入围名额分配办法：商学院各专业推免基数×</w:t>
      </w:r>
      <w:r>
        <w:rPr>
          <w:rFonts w:ascii="仿宋" w:eastAsia="仿宋" w:hAnsi="仿宋"/>
          <w:color w:val="000000"/>
          <w:sz w:val="32"/>
          <w:szCs w:val="32"/>
        </w:rPr>
        <w:t>150%</w:t>
      </w:r>
      <w:r>
        <w:rPr>
          <w:rFonts w:ascii="仿宋" w:eastAsia="仿宋" w:hAnsi="仿宋" w:hint="eastAsia"/>
          <w:color w:val="000000"/>
          <w:sz w:val="32"/>
          <w:szCs w:val="32"/>
        </w:rPr>
        <w:t>入围比例。</w:t>
      </w:r>
    </w:p>
    <w:p w14:paraId="62FD4C71" w14:textId="77777777" w:rsidR="00A168DB" w:rsidRDefault="00000000">
      <w:pPr>
        <w:adjustRightInd w:val="0"/>
        <w:spacing w:line="520" w:lineRule="exact"/>
        <w:ind w:firstLineChars="196" w:firstLine="627"/>
        <w:rPr>
          <w:rFonts w:ascii="仿宋" w:eastAsia="仿宋" w:hAnsi="仿宋"/>
          <w:color w:val="000000"/>
          <w:sz w:val="32"/>
          <w:szCs w:val="32"/>
        </w:rPr>
      </w:pPr>
      <w:r>
        <w:rPr>
          <w:rFonts w:ascii="仿宋" w:eastAsia="仿宋" w:hAnsi="仿宋" w:hint="eastAsia"/>
          <w:color w:val="000000"/>
          <w:sz w:val="32"/>
          <w:szCs w:val="32"/>
        </w:rPr>
        <w:t>（三）各专业上报名额分配方法：各专业推免基数×120</w:t>
      </w:r>
      <w:r>
        <w:rPr>
          <w:rFonts w:ascii="仿宋" w:eastAsia="仿宋" w:hAnsi="仿宋"/>
          <w:color w:val="000000"/>
          <w:sz w:val="32"/>
          <w:szCs w:val="32"/>
        </w:rPr>
        <w:t>%</w:t>
      </w:r>
      <w:r>
        <w:rPr>
          <w:rFonts w:ascii="仿宋" w:eastAsia="仿宋" w:hAnsi="仿宋" w:hint="eastAsia"/>
          <w:color w:val="000000"/>
          <w:sz w:val="32"/>
          <w:szCs w:val="32"/>
        </w:rPr>
        <w:t>上报比例。最终名额分配如下：</w:t>
      </w:r>
    </w:p>
    <w:tbl>
      <w:tblPr>
        <w:tblW w:w="4488" w:type="pct"/>
        <w:tblInd w:w="250" w:type="dxa"/>
        <w:tblLook w:val="04A0" w:firstRow="1" w:lastRow="0" w:firstColumn="1" w:lastColumn="0" w:noHBand="0" w:noVBand="1"/>
      </w:tblPr>
      <w:tblGrid>
        <w:gridCol w:w="2484"/>
        <w:gridCol w:w="1382"/>
        <w:gridCol w:w="964"/>
        <w:gridCol w:w="1240"/>
        <w:gridCol w:w="1382"/>
      </w:tblGrid>
      <w:tr w:rsidR="00A168DB" w14:paraId="20E8D1AE" w14:textId="77777777">
        <w:trPr>
          <w:trHeight w:val="784"/>
        </w:trPr>
        <w:tc>
          <w:tcPr>
            <w:tcW w:w="1667" w:type="pct"/>
            <w:tcBorders>
              <w:top w:val="single" w:sz="4" w:space="0" w:color="auto"/>
              <w:left w:val="single" w:sz="4" w:space="0" w:color="auto"/>
              <w:bottom w:val="nil"/>
              <w:right w:val="single" w:sz="4" w:space="0" w:color="auto"/>
            </w:tcBorders>
            <w:shd w:val="clear" w:color="auto" w:fill="auto"/>
            <w:vAlign w:val="center"/>
          </w:tcPr>
          <w:p w14:paraId="2A6A6784" w14:textId="77777777" w:rsidR="00A168DB" w:rsidRDefault="00000000">
            <w:pPr>
              <w:widowControl/>
              <w:jc w:val="center"/>
              <w:rPr>
                <w:rFonts w:ascii="宋体" w:hAnsi="宋体" w:cs="宋体"/>
                <w:bCs/>
                <w:kern w:val="0"/>
                <w:sz w:val="28"/>
                <w:szCs w:val="24"/>
              </w:rPr>
            </w:pPr>
            <w:r>
              <w:rPr>
                <w:rFonts w:ascii="宋体" w:hAnsi="宋体" w:cs="宋体" w:hint="eastAsia"/>
                <w:bCs/>
                <w:kern w:val="0"/>
                <w:sz w:val="28"/>
                <w:szCs w:val="24"/>
              </w:rPr>
              <w:t>专业</w:t>
            </w:r>
          </w:p>
        </w:tc>
        <w:tc>
          <w:tcPr>
            <w:tcW w:w="927" w:type="pct"/>
            <w:tcBorders>
              <w:top w:val="single" w:sz="4" w:space="0" w:color="auto"/>
              <w:left w:val="nil"/>
              <w:bottom w:val="single" w:sz="4" w:space="0" w:color="auto"/>
              <w:right w:val="single" w:sz="4" w:space="0" w:color="auto"/>
            </w:tcBorders>
            <w:shd w:val="clear" w:color="auto" w:fill="auto"/>
            <w:vAlign w:val="center"/>
          </w:tcPr>
          <w:p w14:paraId="4F11EBF9" w14:textId="34E93EA4" w:rsidR="00A168DB" w:rsidRDefault="00000000">
            <w:pPr>
              <w:widowControl/>
              <w:jc w:val="center"/>
              <w:rPr>
                <w:rFonts w:ascii="宋体" w:hAnsi="宋体" w:cs="宋体"/>
                <w:bCs/>
                <w:kern w:val="0"/>
                <w:sz w:val="28"/>
                <w:szCs w:val="24"/>
              </w:rPr>
            </w:pPr>
            <w:r>
              <w:rPr>
                <w:rFonts w:ascii="宋体" w:hAnsi="宋体" w:cs="宋体" w:hint="eastAsia"/>
                <w:bCs/>
                <w:kern w:val="0"/>
                <w:sz w:val="28"/>
                <w:szCs w:val="24"/>
              </w:rPr>
              <w:t>1</w:t>
            </w:r>
            <w:r>
              <w:rPr>
                <w:rFonts w:ascii="宋体" w:hAnsi="宋体" w:cs="宋体"/>
                <w:bCs/>
                <w:kern w:val="0"/>
                <w:sz w:val="28"/>
                <w:szCs w:val="24"/>
              </w:rPr>
              <w:t>9</w:t>
            </w:r>
            <w:r>
              <w:rPr>
                <w:rFonts w:ascii="宋体" w:hAnsi="宋体" w:cs="宋体" w:hint="eastAsia"/>
                <w:bCs/>
                <w:kern w:val="0"/>
                <w:sz w:val="28"/>
                <w:szCs w:val="24"/>
              </w:rPr>
              <w:t>级在校生人数</w:t>
            </w:r>
          </w:p>
        </w:tc>
        <w:tc>
          <w:tcPr>
            <w:tcW w:w="647" w:type="pct"/>
            <w:tcBorders>
              <w:top w:val="single" w:sz="4" w:space="0" w:color="auto"/>
              <w:left w:val="nil"/>
              <w:bottom w:val="single" w:sz="4" w:space="0" w:color="auto"/>
              <w:right w:val="single" w:sz="4" w:space="0" w:color="auto"/>
            </w:tcBorders>
            <w:shd w:val="clear" w:color="auto" w:fill="auto"/>
            <w:vAlign w:val="center"/>
          </w:tcPr>
          <w:p w14:paraId="7D96920F" w14:textId="77777777" w:rsidR="00A168DB" w:rsidRDefault="00000000">
            <w:pPr>
              <w:widowControl/>
              <w:jc w:val="center"/>
              <w:rPr>
                <w:rFonts w:ascii="宋体" w:hAnsi="宋体" w:cs="宋体"/>
                <w:bCs/>
                <w:kern w:val="0"/>
                <w:sz w:val="28"/>
                <w:szCs w:val="24"/>
              </w:rPr>
            </w:pPr>
            <w:r>
              <w:rPr>
                <w:rFonts w:ascii="宋体" w:hAnsi="宋体" w:cs="宋体" w:hint="eastAsia"/>
                <w:bCs/>
                <w:kern w:val="0"/>
                <w:sz w:val="28"/>
                <w:szCs w:val="24"/>
              </w:rPr>
              <w:t xml:space="preserve">推免基数   </w:t>
            </w:r>
          </w:p>
        </w:tc>
        <w:tc>
          <w:tcPr>
            <w:tcW w:w="832" w:type="pct"/>
            <w:tcBorders>
              <w:top w:val="single" w:sz="4" w:space="0" w:color="auto"/>
              <w:left w:val="nil"/>
              <w:bottom w:val="single" w:sz="4" w:space="0" w:color="auto"/>
              <w:right w:val="single" w:sz="4" w:space="0" w:color="auto"/>
            </w:tcBorders>
            <w:shd w:val="clear" w:color="auto" w:fill="auto"/>
            <w:vAlign w:val="center"/>
          </w:tcPr>
          <w:p w14:paraId="146E4B27" w14:textId="77777777" w:rsidR="00A168DB" w:rsidRDefault="00000000">
            <w:pPr>
              <w:widowControl/>
              <w:jc w:val="center"/>
              <w:rPr>
                <w:rFonts w:ascii="宋体" w:hAnsi="宋体" w:cs="宋体"/>
                <w:bCs/>
                <w:kern w:val="0"/>
                <w:sz w:val="28"/>
                <w:szCs w:val="24"/>
              </w:rPr>
            </w:pPr>
            <w:r>
              <w:rPr>
                <w:rFonts w:ascii="宋体" w:hAnsi="宋体" w:cs="宋体" w:hint="eastAsia"/>
                <w:bCs/>
                <w:kern w:val="0"/>
                <w:sz w:val="28"/>
                <w:szCs w:val="24"/>
              </w:rPr>
              <w:t>推免入围人数</w:t>
            </w:r>
          </w:p>
        </w:tc>
        <w:tc>
          <w:tcPr>
            <w:tcW w:w="927" w:type="pct"/>
            <w:tcBorders>
              <w:top w:val="single" w:sz="4" w:space="0" w:color="auto"/>
              <w:left w:val="nil"/>
              <w:bottom w:val="single" w:sz="4" w:space="0" w:color="auto"/>
              <w:right w:val="single" w:sz="4" w:space="0" w:color="auto"/>
            </w:tcBorders>
          </w:tcPr>
          <w:p w14:paraId="6645DAD4" w14:textId="77777777" w:rsidR="00A168DB" w:rsidRDefault="00000000">
            <w:pPr>
              <w:widowControl/>
              <w:jc w:val="center"/>
              <w:rPr>
                <w:rFonts w:ascii="宋体" w:hAnsi="宋体" w:cs="宋体"/>
                <w:bCs/>
                <w:kern w:val="0"/>
                <w:sz w:val="28"/>
                <w:szCs w:val="24"/>
              </w:rPr>
            </w:pPr>
            <w:r>
              <w:rPr>
                <w:rFonts w:ascii="宋体" w:hAnsi="宋体" w:cs="宋体" w:hint="eastAsia"/>
                <w:bCs/>
                <w:kern w:val="0"/>
                <w:sz w:val="28"/>
                <w:szCs w:val="24"/>
              </w:rPr>
              <w:t>推免上报人数</w:t>
            </w:r>
          </w:p>
        </w:tc>
      </w:tr>
      <w:tr w:rsidR="00A168DB" w14:paraId="5BEC9F54" w14:textId="77777777">
        <w:trPr>
          <w:trHeight w:val="524"/>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EC0D1CF" w14:textId="77777777" w:rsidR="00A168DB" w:rsidRDefault="00000000">
            <w:pPr>
              <w:widowControl/>
              <w:jc w:val="center"/>
              <w:rPr>
                <w:rFonts w:ascii="宋体" w:hAnsi="宋体" w:cs="宋体"/>
                <w:kern w:val="0"/>
                <w:sz w:val="28"/>
                <w:szCs w:val="24"/>
              </w:rPr>
            </w:pPr>
            <w:r>
              <w:rPr>
                <w:rFonts w:ascii="宋体" w:hAnsi="宋体" w:cs="宋体" w:hint="eastAsia"/>
                <w:kern w:val="0"/>
                <w:sz w:val="28"/>
                <w:szCs w:val="24"/>
              </w:rPr>
              <w:t>会计学</w:t>
            </w:r>
          </w:p>
        </w:tc>
        <w:tc>
          <w:tcPr>
            <w:tcW w:w="927" w:type="pct"/>
            <w:tcBorders>
              <w:top w:val="nil"/>
              <w:left w:val="nil"/>
              <w:bottom w:val="single" w:sz="4" w:space="0" w:color="auto"/>
              <w:right w:val="single" w:sz="4" w:space="0" w:color="auto"/>
            </w:tcBorders>
            <w:shd w:val="clear" w:color="auto" w:fill="auto"/>
            <w:vAlign w:val="center"/>
          </w:tcPr>
          <w:p w14:paraId="663DC49E" w14:textId="7314E926" w:rsidR="00A168DB" w:rsidRDefault="00000000">
            <w:pPr>
              <w:jc w:val="center"/>
              <w:rPr>
                <w:rFonts w:ascii="宋体" w:hAnsi="宋体" w:cs="宋体"/>
                <w:color w:val="000000"/>
                <w:sz w:val="28"/>
                <w:szCs w:val="28"/>
              </w:rPr>
            </w:pPr>
            <w:r>
              <w:rPr>
                <w:rFonts w:hint="eastAsia"/>
                <w:color w:val="000000"/>
                <w:sz w:val="28"/>
                <w:szCs w:val="28"/>
              </w:rPr>
              <w:t>23</w:t>
            </w:r>
            <w:r>
              <w:rPr>
                <w:color w:val="000000"/>
                <w:sz w:val="28"/>
                <w:szCs w:val="28"/>
              </w:rPr>
              <w:t>7</w:t>
            </w:r>
          </w:p>
        </w:tc>
        <w:tc>
          <w:tcPr>
            <w:tcW w:w="647" w:type="pct"/>
            <w:tcBorders>
              <w:top w:val="nil"/>
              <w:left w:val="nil"/>
              <w:bottom w:val="single" w:sz="4" w:space="0" w:color="auto"/>
              <w:right w:val="single" w:sz="4" w:space="0" w:color="auto"/>
            </w:tcBorders>
            <w:shd w:val="clear" w:color="auto" w:fill="auto"/>
            <w:vAlign w:val="center"/>
          </w:tcPr>
          <w:p w14:paraId="6AACDA1B" w14:textId="04415344" w:rsidR="00A168DB" w:rsidRDefault="00000000">
            <w:pPr>
              <w:jc w:val="center"/>
              <w:rPr>
                <w:rFonts w:ascii="宋体" w:hAnsi="宋体" w:cs="宋体"/>
                <w:color w:val="000000"/>
                <w:sz w:val="28"/>
                <w:szCs w:val="28"/>
              </w:rPr>
            </w:pPr>
            <w:r>
              <w:rPr>
                <w:rFonts w:hint="eastAsia"/>
                <w:color w:val="000000"/>
                <w:sz w:val="28"/>
                <w:szCs w:val="28"/>
              </w:rPr>
              <w:t>1</w:t>
            </w:r>
            <w:r>
              <w:rPr>
                <w:color w:val="000000"/>
                <w:sz w:val="28"/>
                <w:szCs w:val="28"/>
              </w:rPr>
              <w:t>5</w:t>
            </w:r>
          </w:p>
        </w:tc>
        <w:tc>
          <w:tcPr>
            <w:tcW w:w="832" w:type="pct"/>
            <w:tcBorders>
              <w:top w:val="nil"/>
              <w:left w:val="nil"/>
              <w:bottom w:val="single" w:sz="4" w:space="0" w:color="auto"/>
              <w:right w:val="single" w:sz="4" w:space="0" w:color="auto"/>
            </w:tcBorders>
            <w:shd w:val="clear" w:color="auto" w:fill="auto"/>
            <w:vAlign w:val="center"/>
          </w:tcPr>
          <w:p w14:paraId="04382F8E" w14:textId="551E88C8" w:rsidR="00A168DB" w:rsidRDefault="00000000">
            <w:pPr>
              <w:jc w:val="center"/>
              <w:rPr>
                <w:rFonts w:ascii="宋体" w:hAnsi="宋体" w:cs="宋体"/>
                <w:color w:val="000000"/>
                <w:sz w:val="28"/>
                <w:szCs w:val="28"/>
              </w:rPr>
            </w:pPr>
            <w:r>
              <w:rPr>
                <w:color w:val="000000"/>
                <w:sz w:val="28"/>
                <w:szCs w:val="28"/>
              </w:rPr>
              <w:t>22</w:t>
            </w:r>
          </w:p>
        </w:tc>
        <w:tc>
          <w:tcPr>
            <w:tcW w:w="927" w:type="pct"/>
            <w:tcBorders>
              <w:top w:val="nil"/>
              <w:left w:val="nil"/>
              <w:bottom w:val="single" w:sz="4" w:space="0" w:color="auto"/>
              <w:right w:val="single" w:sz="4" w:space="0" w:color="auto"/>
            </w:tcBorders>
            <w:vAlign w:val="center"/>
          </w:tcPr>
          <w:p w14:paraId="7A8503B8" w14:textId="0F723E65" w:rsidR="00A168DB" w:rsidRDefault="00000000">
            <w:pPr>
              <w:jc w:val="center"/>
              <w:rPr>
                <w:rFonts w:ascii="宋体" w:hAnsi="宋体" w:cs="宋体"/>
                <w:color w:val="000000"/>
                <w:sz w:val="28"/>
                <w:szCs w:val="28"/>
              </w:rPr>
            </w:pPr>
            <w:r>
              <w:rPr>
                <w:rFonts w:hint="eastAsia"/>
                <w:color w:val="000000"/>
                <w:sz w:val="28"/>
                <w:szCs w:val="28"/>
              </w:rPr>
              <w:t>1</w:t>
            </w:r>
            <w:r>
              <w:rPr>
                <w:color w:val="000000"/>
                <w:sz w:val="28"/>
                <w:szCs w:val="28"/>
              </w:rPr>
              <w:t>7</w:t>
            </w:r>
          </w:p>
        </w:tc>
      </w:tr>
      <w:tr w:rsidR="00A168DB" w14:paraId="17BE0D55" w14:textId="77777777">
        <w:trPr>
          <w:trHeight w:val="439"/>
        </w:trPr>
        <w:tc>
          <w:tcPr>
            <w:tcW w:w="1667" w:type="pct"/>
            <w:tcBorders>
              <w:top w:val="nil"/>
              <w:left w:val="single" w:sz="4" w:space="0" w:color="auto"/>
              <w:bottom w:val="single" w:sz="4" w:space="0" w:color="auto"/>
              <w:right w:val="single" w:sz="4" w:space="0" w:color="auto"/>
            </w:tcBorders>
            <w:shd w:val="clear" w:color="auto" w:fill="auto"/>
            <w:vAlign w:val="center"/>
          </w:tcPr>
          <w:p w14:paraId="1FA95287" w14:textId="77777777" w:rsidR="00A168DB" w:rsidRDefault="00000000">
            <w:pPr>
              <w:widowControl/>
              <w:jc w:val="center"/>
              <w:rPr>
                <w:rFonts w:ascii="宋体" w:hAnsi="宋体" w:cs="宋体"/>
                <w:kern w:val="0"/>
                <w:sz w:val="28"/>
                <w:szCs w:val="24"/>
              </w:rPr>
            </w:pPr>
            <w:r>
              <w:rPr>
                <w:rFonts w:ascii="宋体" w:hAnsi="宋体" w:cs="宋体" w:hint="eastAsia"/>
                <w:kern w:val="0"/>
                <w:sz w:val="28"/>
                <w:szCs w:val="24"/>
              </w:rPr>
              <w:t>财务管理</w:t>
            </w:r>
          </w:p>
        </w:tc>
        <w:tc>
          <w:tcPr>
            <w:tcW w:w="927" w:type="pct"/>
            <w:tcBorders>
              <w:top w:val="nil"/>
              <w:left w:val="nil"/>
              <w:bottom w:val="single" w:sz="4" w:space="0" w:color="auto"/>
              <w:right w:val="single" w:sz="4" w:space="0" w:color="auto"/>
            </w:tcBorders>
            <w:shd w:val="clear" w:color="auto" w:fill="auto"/>
            <w:vAlign w:val="center"/>
          </w:tcPr>
          <w:p w14:paraId="3DCFC5EE" w14:textId="2CD06516" w:rsidR="00A168DB" w:rsidRDefault="00000000">
            <w:pPr>
              <w:jc w:val="center"/>
              <w:rPr>
                <w:rFonts w:ascii="宋体" w:hAnsi="宋体" w:cs="宋体"/>
                <w:color w:val="000000"/>
                <w:sz w:val="28"/>
                <w:szCs w:val="28"/>
              </w:rPr>
            </w:pPr>
            <w:r>
              <w:rPr>
                <w:color w:val="000000"/>
                <w:sz w:val="28"/>
                <w:szCs w:val="28"/>
              </w:rPr>
              <w:t>7</w:t>
            </w:r>
            <w:r>
              <w:rPr>
                <w:rFonts w:hint="eastAsia"/>
                <w:color w:val="000000"/>
                <w:sz w:val="28"/>
                <w:szCs w:val="28"/>
              </w:rPr>
              <w:t>6</w:t>
            </w:r>
          </w:p>
        </w:tc>
        <w:tc>
          <w:tcPr>
            <w:tcW w:w="647" w:type="pct"/>
            <w:tcBorders>
              <w:top w:val="nil"/>
              <w:left w:val="nil"/>
              <w:bottom w:val="single" w:sz="4" w:space="0" w:color="auto"/>
              <w:right w:val="single" w:sz="4" w:space="0" w:color="auto"/>
            </w:tcBorders>
            <w:shd w:val="clear" w:color="auto" w:fill="auto"/>
            <w:vAlign w:val="center"/>
          </w:tcPr>
          <w:p w14:paraId="66E920D6" w14:textId="51C2BFE7" w:rsidR="00A168DB" w:rsidRDefault="00000000">
            <w:pPr>
              <w:jc w:val="center"/>
              <w:rPr>
                <w:rFonts w:ascii="宋体" w:hAnsi="宋体" w:cs="宋体"/>
                <w:color w:val="000000"/>
                <w:sz w:val="28"/>
                <w:szCs w:val="28"/>
              </w:rPr>
            </w:pPr>
            <w:r>
              <w:rPr>
                <w:color w:val="000000"/>
                <w:sz w:val="28"/>
                <w:szCs w:val="28"/>
              </w:rPr>
              <w:t>5</w:t>
            </w:r>
          </w:p>
        </w:tc>
        <w:tc>
          <w:tcPr>
            <w:tcW w:w="832" w:type="pct"/>
            <w:tcBorders>
              <w:top w:val="nil"/>
              <w:left w:val="nil"/>
              <w:bottom w:val="single" w:sz="4" w:space="0" w:color="auto"/>
              <w:right w:val="single" w:sz="4" w:space="0" w:color="auto"/>
            </w:tcBorders>
            <w:shd w:val="clear" w:color="auto" w:fill="auto"/>
            <w:vAlign w:val="center"/>
          </w:tcPr>
          <w:p w14:paraId="189DA8BB" w14:textId="3748E2A0" w:rsidR="00A168DB" w:rsidRDefault="00000000">
            <w:pPr>
              <w:jc w:val="center"/>
              <w:rPr>
                <w:rFonts w:ascii="宋体" w:hAnsi="宋体" w:cs="宋体"/>
                <w:color w:val="000000"/>
                <w:sz w:val="28"/>
                <w:szCs w:val="28"/>
              </w:rPr>
            </w:pPr>
            <w:r>
              <w:rPr>
                <w:color w:val="000000"/>
                <w:sz w:val="28"/>
                <w:szCs w:val="28"/>
              </w:rPr>
              <w:t>8</w:t>
            </w:r>
          </w:p>
        </w:tc>
        <w:tc>
          <w:tcPr>
            <w:tcW w:w="927" w:type="pct"/>
            <w:tcBorders>
              <w:top w:val="nil"/>
              <w:left w:val="nil"/>
              <w:bottom w:val="single" w:sz="4" w:space="0" w:color="auto"/>
              <w:right w:val="single" w:sz="4" w:space="0" w:color="auto"/>
            </w:tcBorders>
            <w:vAlign w:val="center"/>
          </w:tcPr>
          <w:p w14:paraId="735ED27D" w14:textId="022AE893" w:rsidR="00A168DB" w:rsidRDefault="00000000">
            <w:pPr>
              <w:jc w:val="center"/>
              <w:rPr>
                <w:rFonts w:ascii="宋体" w:hAnsi="宋体" w:cs="宋体"/>
                <w:color w:val="000000"/>
                <w:sz w:val="28"/>
                <w:szCs w:val="28"/>
              </w:rPr>
            </w:pPr>
            <w:r>
              <w:rPr>
                <w:color w:val="000000"/>
                <w:sz w:val="28"/>
                <w:szCs w:val="28"/>
              </w:rPr>
              <w:t>6</w:t>
            </w:r>
          </w:p>
        </w:tc>
      </w:tr>
      <w:tr w:rsidR="00A168DB" w14:paraId="05465A73" w14:textId="77777777">
        <w:trPr>
          <w:trHeight w:val="439"/>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1123C89" w14:textId="77777777" w:rsidR="00A168DB" w:rsidRDefault="00000000">
            <w:pPr>
              <w:widowControl/>
              <w:jc w:val="center"/>
              <w:rPr>
                <w:rFonts w:ascii="宋体" w:hAnsi="宋体" w:cs="宋体"/>
                <w:kern w:val="0"/>
                <w:sz w:val="28"/>
                <w:szCs w:val="24"/>
              </w:rPr>
            </w:pPr>
            <w:r>
              <w:rPr>
                <w:rFonts w:ascii="宋体" w:hAnsi="宋体" w:cs="宋体" w:hint="eastAsia"/>
                <w:kern w:val="0"/>
                <w:sz w:val="28"/>
                <w:szCs w:val="24"/>
              </w:rPr>
              <w:t>工商管理</w:t>
            </w:r>
          </w:p>
        </w:tc>
        <w:tc>
          <w:tcPr>
            <w:tcW w:w="927" w:type="pct"/>
            <w:tcBorders>
              <w:top w:val="nil"/>
              <w:left w:val="nil"/>
              <w:bottom w:val="single" w:sz="4" w:space="0" w:color="auto"/>
              <w:right w:val="single" w:sz="4" w:space="0" w:color="auto"/>
            </w:tcBorders>
            <w:shd w:val="clear" w:color="auto" w:fill="auto"/>
            <w:vAlign w:val="center"/>
          </w:tcPr>
          <w:p w14:paraId="63A9389F" w14:textId="4328F7B7" w:rsidR="00A168DB" w:rsidRDefault="00000000">
            <w:pPr>
              <w:jc w:val="center"/>
              <w:rPr>
                <w:rFonts w:ascii="宋体" w:hAnsi="宋体" w:cs="宋体"/>
                <w:color w:val="000000"/>
                <w:sz w:val="28"/>
                <w:szCs w:val="28"/>
              </w:rPr>
            </w:pPr>
            <w:r>
              <w:rPr>
                <w:color w:val="000000"/>
                <w:sz w:val="28"/>
                <w:szCs w:val="28"/>
              </w:rPr>
              <w:t>76</w:t>
            </w:r>
          </w:p>
        </w:tc>
        <w:tc>
          <w:tcPr>
            <w:tcW w:w="647" w:type="pct"/>
            <w:tcBorders>
              <w:top w:val="nil"/>
              <w:left w:val="nil"/>
              <w:bottom w:val="single" w:sz="4" w:space="0" w:color="auto"/>
              <w:right w:val="single" w:sz="4" w:space="0" w:color="auto"/>
            </w:tcBorders>
            <w:shd w:val="clear" w:color="auto" w:fill="auto"/>
            <w:vAlign w:val="center"/>
          </w:tcPr>
          <w:p w14:paraId="6DEE187B" w14:textId="77777777" w:rsidR="00A168DB" w:rsidRDefault="00000000">
            <w:pPr>
              <w:jc w:val="center"/>
              <w:rPr>
                <w:rFonts w:ascii="宋体" w:hAnsi="宋体" w:cs="宋体"/>
                <w:color w:val="000000"/>
                <w:sz w:val="28"/>
                <w:szCs w:val="28"/>
              </w:rPr>
            </w:pPr>
            <w:r>
              <w:rPr>
                <w:color w:val="000000"/>
                <w:sz w:val="28"/>
                <w:szCs w:val="28"/>
              </w:rPr>
              <w:t>5</w:t>
            </w:r>
          </w:p>
        </w:tc>
        <w:tc>
          <w:tcPr>
            <w:tcW w:w="832" w:type="pct"/>
            <w:tcBorders>
              <w:top w:val="nil"/>
              <w:left w:val="nil"/>
              <w:bottom w:val="single" w:sz="4" w:space="0" w:color="auto"/>
              <w:right w:val="single" w:sz="4" w:space="0" w:color="auto"/>
            </w:tcBorders>
            <w:shd w:val="clear" w:color="auto" w:fill="auto"/>
            <w:vAlign w:val="center"/>
          </w:tcPr>
          <w:p w14:paraId="622E1606" w14:textId="15B3F6AF" w:rsidR="00A168DB" w:rsidRDefault="00000000">
            <w:pPr>
              <w:jc w:val="center"/>
              <w:rPr>
                <w:rFonts w:ascii="宋体" w:hAnsi="宋体" w:cs="宋体"/>
                <w:color w:val="000000"/>
                <w:sz w:val="28"/>
                <w:szCs w:val="28"/>
              </w:rPr>
            </w:pPr>
            <w:r>
              <w:rPr>
                <w:color w:val="000000"/>
                <w:sz w:val="28"/>
                <w:szCs w:val="28"/>
              </w:rPr>
              <w:t>8</w:t>
            </w:r>
          </w:p>
        </w:tc>
        <w:tc>
          <w:tcPr>
            <w:tcW w:w="927" w:type="pct"/>
            <w:tcBorders>
              <w:top w:val="nil"/>
              <w:left w:val="nil"/>
              <w:bottom w:val="single" w:sz="4" w:space="0" w:color="auto"/>
              <w:right w:val="single" w:sz="4" w:space="0" w:color="auto"/>
            </w:tcBorders>
            <w:vAlign w:val="center"/>
          </w:tcPr>
          <w:p w14:paraId="1D0FE163" w14:textId="77777777" w:rsidR="00A168DB" w:rsidRDefault="00000000">
            <w:pPr>
              <w:jc w:val="center"/>
              <w:rPr>
                <w:rFonts w:ascii="宋体" w:hAnsi="宋体" w:cs="宋体"/>
                <w:color w:val="000000"/>
                <w:sz w:val="28"/>
                <w:szCs w:val="28"/>
              </w:rPr>
            </w:pPr>
            <w:r>
              <w:rPr>
                <w:color w:val="000000"/>
                <w:sz w:val="28"/>
                <w:szCs w:val="28"/>
              </w:rPr>
              <w:t>6</w:t>
            </w:r>
          </w:p>
        </w:tc>
      </w:tr>
      <w:tr w:rsidR="00A168DB" w14:paraId="4C452285" w14:textId="77777777">
        <w:trPr>
          <w:trHeight w:val="439"/>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7708AC31" w14:textId="77777777" w:rsidR="00A168DB" w:rsidRDefault="00000000">
            <w:pPr>
              <w:widowControl/>
              <w:jc w:val="center"/>
              <w:rPr>
                <w:rFonts w:ascii="宋体" w:hAnsi="宋体" w:cs="宋体"/>
                <w:kern w:val="0"/>
                <w:sz w:val="28"/>
                <w:szCs w:val="24"/>
              </w:rPr>
            </w:pPr>
            <w:r>
              <w:rPr>
                <w:rFonts w:ascii="宋体" w:hAnsi="宋体" w:cs="宋体" w:hint="eastAsia"/>
                <w:kern w:val="0"/>
                <w:sz w:val="28"/>
                <w:szCs w:val="24"/>
              </w:rPr>
              <w:t>人力资源管理</w:t>
            </w:r>
          </w:p>
        </w:tc>
        <w:tc>
          <w:tcPr>
            <w:tcW w:w="927" w:type="pct"/>
            <w:tcBorders>
              <w:top w:val="nil"/>
              <w:left w:val="nil"/>
              <w:bottom w:val="single" w:sz="4" w:space="0" w:color="auto"/>
              <w:right w:val="single" w:sz="4" w:space="0" w:color="auto"/>
            </w:tcBorders>
            <w:shd w:val="clear" w:color="auto" w:fill="auto"/>
            <w:vAlign w:val="center"/>
          </w:tcPr>
          <w:p w14:paraId="22C2B968" w14:textId="340B61D4" w:rsidR="00A168DB" w:rsidRDefault="00000000">
            <w:pPr>
              <w:jc w:val="center"/>
              <w:rPr>
                <w:rFonts w:ascii="宋体" w:hAnsi="宋体" w:cs="宋体"/>
                <w:color w:val="000000"/>
                <w:sz w:val="28"/>
                <w:szCs w:val="28"/>
              </w:rPr>
            </w:pPr>
            <w:r>
              <w:rPr>
                <w:color w:val="000000"/>
                <w:sz w:val="28"/>
                <w:szCs w:val="28"/>
              </w:rPr>
              <w:t>50</w:t>
            </w:r>
          </w:p>
        </w:tc>
        <w:tc>
          <w:tcPr>
            <w:tcW w:w="647" w:type="pct"/>
            <w:tcBorders>
              <w:top w:val="nil"/>
              <w:left w:val="nil"/>
              <w:bottom w:val="single" w:sz="4" w:space="0" w:color="auto"/>
              <w:right w:val="single" w:sz="4" w:space="0" w:color="auto"/>
            </w:tcBorders>
            <w:shd w:val="clear" w:color="auto" w:fill="auto"/>
            <w:vAlign w:val="center"/>
          </w:tcPr>
          <w:p w14:paraId="234F89F3" w14:textId="77777777" w:rsidR="00A168DB" w:rsidRDefault="00000000">
            <w:pPr>
              <w:jc w:val="center"/>
              <w:rPr>
                <w:rFonts w:ascii="宋体" w:hAnsi="宋体" w:cs="宋体"/>
                <w:color w:val="000000"/>
                <w:sz w:val="28"/>
                <w:szCs w:val="28"/>
              </w:rPr>
            </w:pPr>
            <w:r>
              <w:rPr>
                <w:color w:val="000000"/>
                <w:sz w:val="28"/>
                <w:szCs w:val="28"/>
              </w:rPr>
              <w:t>3</w:t>
            </w:r>
          </w:p>
        </w:tc>
        <w:tc>
          <w:tcPr>
            <w:tcW w:w="832" w:type="pct"/>
            <w:tcBorders>
              <w:top w:val="nil"/>
              <w:left w:val="nil"/>
              <w:bottom w:val="single" w:sz="4" w:space="0" w:color="auto"/>
              <w:right w:val="single" w:sz="4" w:space="0" w:color="auto"/>
            </w:tcBorders>
            <w:shd w:val="clear" w:color="auto" w:fill="auto"/>
            <w:vAlign w:val="center"/>
          </w:tcPr>
          <w:p w14:paraId="3D6BE779" w14:textId="33B4DC15" w:rsidR="00A168DB" w:rsidRDefault="00000000">
            <w:pPr>
              <w:jc w:val="center"/>
              <w:rPr>
                <w:rFonts w:ascii="宋体" w:hAnsi="宋体" w:cs="宋体"/>
                <w:color w:val="000000"/>
                <w:sz w:val="28"/>
                <w:szCs w:val="28"/>
              </w:rPr>
            </w:pPr>
            <w:r>
              <w:rPr>
                <w:color w:val="000000"/>
                <w:sz w:val="28"/>
                <w:szCs w:val="28"/>
              </w:rPr>
              <w:t>4</w:t>
            </w:r>
          </w:p>
        </w:tc>
        <w:tc>
          <w:tcPr>
            <w:tcW w:w="927" w:type="pct"/>
            <w:tcBorders>
              <w:top w:val="nil"/>
              <w:left w:val="nil"/>
              <w:bottom w:val="single" w:sz="4" w:space="0" w:color="auto"/>
              <w:right w:val="single" w:sz="4" w:space="0" w:color="auto"/>
            </w:tcBorders>
            <w:vAlign w:val="center"/>
          </w:tcPr>
          <w:p w14:paraId="6F9BEFA3" w14:textId="77777777" w:rsidR="00A168DB" w:rsidRDefault="00000000">
            <w:pPr>
              <w:jc w:val="center"/>
              <w:rPr>
                <w:rFonts w:ascii="宋体" w:hAnsi="宋体" w:cs="宋体"/>
                <w:color w:val="000000"/>
                <w:sz w:val="28"/>
                <w:szCs w:val="28"/>
              </w:rPr>
            </w:pPr>
            <w:r>
              <w:rPr>
                <w:color w:val="000000"/>
                <w:sz w:val="28"/>
                <w:szCs w:val="28"/>
              </w:rPr>
              <w:t>3</w:t>
            </w:r>
          </w:p>
        </w:tc>
      </w:tr>
      <w:tr w:rsidR="00A168DB" w14:paraId="492CC511" w14:textId="77777777">
        <w:trPr>
          <w:trHeight w:val="439"/>
        </w:trPr>
        <w:tc>
          <w:tcPr>
            <w:tcW w:w="1667" w:type="pct"/>
            <w:tcBorders>
              <w:top w:val="nil"/>
              <w:left w:val="single" w:sz="4" w:space="0" w:color="auto"/>
              <w:bottom w:val="single" w:sz="4" w:space="0" w:color="auto"/>
              <w:right w:val="single" w:sz="4" w:space="0" w:color="auto"/>
            </w:tcBorders>
            <w:shd w:val="clear" w:color="auto" w:fill="auto"/>
            <w:vAlign w:val="center"/>
          </w:tcPr>
          <w:p w14:paraId="134A2E26" w14:textId="77777777" w:rsidR="00A168DB" w:rsidRDefault="00000000">
            <w:pPr>
              <w:widowControl/>
              <w:jc w:val="center"/>
              <w:rPr>
                <w:rFonts w:ascii="宋体" w:hAnsi="宋体" w:cs="宋体"/>
                <w:kern w:val="0"/>
                <w:sz w:val="28"/>
                <w:szCs w:val="24"/>
              </w:rPr>
            </w:pPr>
            <w:r>
              <w:rPr>
                <w:rFonts w:ascii="宋体" w:hAnsi="宋体" w:cs="宋体" w:hint="eastAsia"/>
                <w:kern w:val="0"/>
                <w:sz w:val="28"/>
                <w:szCs w:val="24"/>
              </w:rPr>
              <w:t>市场营销</w:t>
            </w:r>
          </w:p>
        </w:tc>
        <w:tc>
          <w:tcPr>
            <w:tcW w:w="927" w:type="pct"/>
            <w:tcBorders>
              <w:top w:val="nil"/>
              <w:left w:val="nil"/>
              <w:bottom w:val="single" w:sz="4" w:space="0" w:color="auto"/>
              <w:right w:val="single" w:sz="4" w:space="0" w:color="auto"/>
            </w:tcBorders>
            <w:shd w:val="clear" w:color="auto" w:fill="auto"/>
            <w:vAlign w:val="center"/>
          </w:tcPr>
          <w:p w14:paraId="1FD91583" w14:textId="3C6BD1D8" w:rsidR="00A168DB" w:rsidRDefault="00000000">
            <w:pPr>
              <w:jc w:val="center"/>
              <w:rPr>
                <w:rFonts w:ascii="宋体" w:hAnsi="宋体" w:cs="宋体"/>
                <w:color w:val="000000"/>
                <w:sz w:val="28"/>
                <w:szCs w:val="28"/>
              </w:rPr>
            </w:pPr>
            <w:r>
              <w:rPr>
                <w:color w:val="000000"/>
                <w:sz w:val="28"/>
                <w:szCs w:val="28"/>
              </w:rPr>
              <w:t>4</w:t>
            </w:r>
            <w:r>
              <w:rPr>
                <w:rFonts w:hint="eastAsia"/>
                <w:color w:val="000000"/>
                <w:sz w:val="28"/>
                <w:szCs w:val="28"/>
              </w:rPr>
              <w:t>0</w:t>
            </w:r>
          </w:p>
        </w:tc>
        <w:tc>
          <w:tcPr>
            <w:tcW w:w="647" w:type="pct"/>
            <w:tcBorders>
              <w:top w:val="nil"/>
              <w:left w:val="nil"/>
              <w:bottom w:val="single" w:sz="4" w:space="0" w:color="auto"/>
              <w:right w:val="single" w:sz="4" w:space="0" w:color="auto"/>
            </w:tcBorders>
            <w:shd w:val="clear" w:color="auto" w:fill="auto"/>
            <w:vAlign w:val="center"/>
          </w:tcPr>
          <w:p w14:paraId="661B14C9" w14:textId="0F5E1880" w:rsidR="00A168DB" w:rsidRDefault="00000000">
            <w:pPr>
              <w:jc w:val="center"/>
              <w:rPr>
                <w:rFonts w:ascii="宋体" w:hAnsi="宋体" w:cs="宋体"/>
                <w:color w:val="000000"/>
                <w:sz w:val="28"/>
                <w:szCs w:val="28"/>
              </w:rPr>
            </w:pPr>
            <w:r>
              <w:rPr>
                <w:color w:val="000000"/>
                <w:sz w:val="28"/>
                <w:szCs w:val="28"/>
              </w:rPr>
              <w:t>3</w:t>
            </w:r>
          </w:p>
        </w:tc>
        <w:tc>
          <w:tcPr>
            <w:tcW w:w="832" w:type="pct"/>
            <w:tcBorders>
              <w:top w:val="nil"/>
              <w:left w:val="nil"/>
              <w:bottom w:val="single" w:sz="4" w:space="0" w:color="auto"/>
              <w:right w:val="single" w:sz="4" w:space="0" w:color="auto"/>
            </w:tcBorders>
            <w:shd w:val="clear" w:color="auto" w:fill="auto"/>
            <w:vAlign w:val="center"/>
          </w:tcPr>
          <w:p w14:paraId="37F946D3" w14:textId="27DE8F7D" w:rsidR="00A168DB" w:rsidRDefault="00000000">
            <w:pPr>
              <w:jc w:val="center"/>
              <w:rPr>
                <w:rFonts w:ascii="宋体" w:hAnsi="宋体" w:cs="宋体"/>
                <w:color w:val="000000"/>
                <w:sz w:val="28"/>
                <w:szCs w:val="28"/>
              </w:rPr>
            </w:pPr>
            <w:r>
              <w:rPr>
                <w:color w:val="000000"/>
                <w:sz w:val="28"/>
                <w:szCs w:val="28"/>
              </w:rPr>
              <w:t>5</w:t>
            </w:r>
          </w:p>
        </w:tc>
        <w:tc>
          <w:tcPr>
            <w:tcW w:w="927" w:type="pct"/>
            <w:tcBorders>
              <w:top w:val="nil"/>
              <w:left w:val="nil"/>
              <w:bottom w:val="single" w:sz="4" w:space="0" w:color="auto"/>
              <w:right w:val="single" w:sz="4" w:space="0" w:color="auto"/>
            </w:tcBorders>
            <w:vAlign w:val="center"/>
          </w:tcPr>
          <w:p w14:paraId="711EE464" w14:textId="704D1B78" w:rsidR="00A168DB" w:rsidRDefault="00000000">
            <w:pPr>
              <w:jc w:val="center"/>
              <w:rPr>
                <w:rFonts w:ascii="宋体" w:hAnsi="宋体" w:cs="宋体"/>
                <w:color w:val="000000"/>
                <w:sz w:val="28"/>
                <w:szCs w:val="28"/>
              </w:rPr>
            </w:pPr>
            <w:r>
              <w:rPr>
                <w:color w:val="000000"/>
                <w:sz w:val="28"/>
                <w:szCs w:val="28"/>
              </w:rPr>
              <w:t>4</w:t>
            </w:r>
            <w:r>
              <w:rPr>
                <w:rFonts w:hint="eastAsia"/>
                <w:color w:val="000000"/>
                <w:sz w:val="28"/>
                <w:szCs w:val="28"/>
              </w:rPr>
              <w:t xml:space="preserve">            </w:t>
            </w:r>
          </w:p>
        </w:tc>
      </w:tr>
      <w:tr w:rsidR="00A168DB" w14:paraId="72AF93B4" w14:textId="77777777">
        <w:trPr>
          <w:trHeight w:val="439"/>
        </w:trPr>
        <w:tc>
          <w:tcPr>
            <w:tcW w:w="1667" w:type="pct"/>
            <w:tcBorders>
              <w:top w:val="nil"/>
              <w:left w:val="single" w:sz="4" w:space="0" w:color="auto"/>
              <w:bottom w:val="single" w:sz="4" w:space="0" w:color="auto"/>
              <w:right w:val="single" w:sz="4" w:space="0" w:color="auto"/>
            </w:tcBorders>
            <w:shd w:val="clear" w:color="auto" w:fill="auto"/>
            <w:vAlign w:val="center"/>
          </w:tcPr>
          <w:p w14:paraId="5590F704" w14:textId="77777777" w:rsidR="00A168DB" w:rsidRDefault="00000000">
            <w:pPr>
              <w:widowControl/>
              <w:jc w:val="center"/>
              <w:rPr>
                <w:rFonts w:ascii="宋体" w:hAnsi="宋体" w:cs="宋体"/>
                <w:kern w:val="0"/>
                <w:sz w:val="28"/>
                <w:szCs w:val="24"/>
              </w:rPr>
            </w:pPr>
            <w:r>
              <w:rPr>
                <w:rFonts w:ascii="宋体" w:hAnsi="宋体" w:cs="宋体" w:hint="eastAsia"/>
                <w:kern w:val="0"/>
                <w:sz w:val="28"/>
                <w:szCs w:val="24"/>
              </w:rPr>
              <w:t>合计</w:t>
            </w:r>
          </w:p>
        </w:tc>
        <w:tc>
          <w:tcPr>
            <w:tcW w:w="927" w:type="pct"/>
            <w:tcBorders>
              <w:top w:val="nil"/>
              <w:left w:val="nil"/>
              <w:bottom w:val="single" w:sz="4" w:space="0" w:color="auto"/>
              <w:right w:val="single" w:sz="4" w:space="0" w:color="auto"/>
            </w:tcBorders>
            <w:shd w:val="clear" w:color="auto" w:fill="auto"/>
            <w:vAlign w:val="center"/>
          </w:tcPr>
          <w:p w14:paraId="35612620" w14:textId="5923B118" w:rsidR="00A168DB" w:rsidRDefault="00000000">
            <w:pPr>
              <w:jc w:val="center"/>
              <w:rPr>
                <w:rFonts w:ascii="宋体" w:hAnsi="宋体" w:cs="宋体"/>
                <w:color w:val="000000"/>
                <w:sz w:val="28"/>
                <w:szCs w:val="28"/>
              </w:rPr>
            </w:pPr>
            <w:r>
              <w:rPr>
                <w:color w:val="000000"/>
                <w:sz w:val="28"/>
                <w:szCs w:val="28"/>
              </w:rPr>
              <w:t>479</w:t>
            </w:r>
          </w:p>
        </w:tc>
        <w:tc>
          <w:tcPr>
            <w:tcW w:w="647" w:type="pct"/>
            <w:tcBorders>
              <w:top w:val="nil"/>
              <w:left w:val="nil"/>
              <w:bottom w:val="single" w:sz="4" w:space="0" w:color="auto"/>
              <w:right w:val="single" w:sz="4" w:space="0" w:color="auto"/>
            </w:tcBorders>
            <w:shd w:val="clear" w:color="auto" w:fill="auto"/>
            <w:vAlign w:val="center"/>
          </w:tcPr>
          <w:p w14:paraId="6B007303" w14:textId="4983828C" w:rsidR="00A168DB" w:rsidRDefault="00000000">
            <w:pPr>
              <w:jc w:val="center"/>
              <w:rPr>
                <w:rFonts w:ascii="宋体" w:hAnsi="宋体" w:cs="宋体"/>
                <w:color w:val="000000"/>
                <w:sz w:val="28"/>
                <w:szCs w:val="28"/>
              </w:rPr>
            </w:pPr>
            <w:r>
              <w:rPr>
                <w:color w:val="000000"/>
                <w:sz w:val="28"/>
                <w:szCs w:val="28"/>
              </w:rPr>
              <w:t>31</w:t>
            </w:r>
          </w:p>
        </w:tc>
        <w:tc>
          <w:tcPr>
            <w:tcW w:w="832" w:type="pct"/>
            <w:tcBorders>
              <w:top w:val="nil"/>
              <w:left w:val="nil"/>
              <w:bottom w:val="single" w:sz="4" w:space="0" w:color="auto"/>
              <w:right w:val="single" w:sz="4" w:space="0" w:color="auto"/>
            </w:tcBorders>
            <w:shd w:val="clear" w:color="auto" w:fill="auto"/>
            <w:vAlign w:val="center"/>
          </w:tcPr>
          <w:p w14:paraId="0B492EAF" w14:textId="55341C09" w:rsidR="00A168DB" w:rsidRDefault="00000000">
            <w:pPr>
              <w:jc w:val="center"/>
              <w:rPr>
                <w:rFonts w:ascii="宋体" w:hAnsi="宋体" w:cs="宋体"/>
                <w:color w:val="000000"/>
                <w:sz w:val="28"/>
                <w:szCs w:val="28"/>
              </w:rPr>
            </w:pPr>
            <w:r>
              <w:rPr>
                <w:rFonts w:hint="eastAsia"/>
                <w:color w:val="000000"/>
                <w:sz w:val="28"/>
                <w:szCs w:val="28"/>
              </w:rPr>
              <w:t>4</w:t>
            </w:r>
            <w:r>
              <w:rPr>
                <w:color w:val="000000"/>
                <w:sz w:val="28"/>
                <w:szCs w:val="28"/>
              </w:rPr>
              <w:t>7</w:t>
            </w:r>
          </w:p>
        </w:tc>
        <w:tc>
          <w:tcPr>
            <w:tcW w:w="927" w:type="pct"/>
            <w:tcBorders>
              <w:top w:val="nil"/>
              <w:left w:val="nil"/>
              <w:bottom w:val="single" w:sz="4" w:space="0" w:color="auto"/>
              <w:right w:val="single" w:sz="4" w:space="0" w:color="auto"/>
            </w:tcBorders>
            <w:vAlign w:val="center"/>
          </w:tcPr>
          <w:p w14:paraId="119094F7" w14:textId="4B2463AE" w:rsidR="00A168DB" w:rsidRDefault="00000000">
            <w:pPr>
              <w:jc w:val="center"/>
              <w:rPr>
                <w:rFonts w:ascii="宋体" w:hAnsi="宋体" w:cs="宋体"/>
                <w:color w:val="000000"/>
                <w:sz w:val="28"/>
                <w:szCs w:val="28"/>
              </w:rPr>
            </w:pPr>
            <w:r>
              <w:rPr>
                <w:rFonts w:hint="eastAsia"/>
                <w:color w:val="000000"/>
                <w:sz w:val="28"/>
                <w:szCs w:val="28"/>
              </w:rPr>
              <w:t>3</w:t>
            </w:r>
            <w:r>
              <w:rPr>
                <w:color w:val="000000"/>
                <w:sz w:val="28"/>
                <w:szCs w:val="28"/>
              </w:rPr>
              <w:t>6</w:t>
            </w:r>
          </w:p>
        </w:tc>
      </w:tr>
    </w:tbl>
    <w:p w14:paraId="54C267A3" w14:textId="3BBB3286" w:rsidR="00A168DB" w:rsidRDefault="00000000">
      <w:pPr>
        <w:pStyle w:val="a6"/>
        <w:adjustRightInd w:val="0"/>
        <w:spacing w:line="52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（四）计算各专业推免名额时，按四舍五入取整，取整相加后超过推免名额总数的，则取四舍五入小数点数额较高者。</w:t>
      </w:r>
    </w:p>
    <w:p w14:paraId="410EACCF" w14:textId="77777777" w:rsidR="00A168DB" w:rsidRDefault="00000000">
      <w:pPr>
        <w:pStyle w:val="a6"/>
        <w:adjustRightInd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（五）各专业递补计算方法：</w:t>
      </w:r>
      <w:r>
        <w:rPr>
          <w:rFonts w:ascii="仿宋" w:eastAsia="仿宋" w:hAnsi="仿宋" w:hint="eastAsia"/>
          <w:color w:val="000000" w:themeColor="text1"/>
          <w:sz w:val="32"/>
          <w:szCs w:val="32"/>
        </w:rPr>
        <w:t>按1：1比例计算实际各专业指标，然后按四舍五入取整后，需要递补的专业中，按舍去的比例由高到低排列递补顺序。</w:t>
      </w:r>
    </w:p>
    <w:p w14:paraId="3B03BB85" w14:textId="77777777" w:rsidR="00A168DB" w:rsidRPr="00BA6115" w:rsidRDefault="00000000">
      <w:pPr>
        <w:pStyle w:val="13"/>
        <w:numPr>
          <w:ilvl w:val="0"/>
          <w:numId w:val="1"/>
        </w:numPr>
        <w:spacing w:line="520" w:lineRule="exact"/>
        <w:ind w:firstLineChars="0"/>
        <w:rPr>
          <w:rFonts w:ascii="仿宋" w:eastAsia="仿宋" w:hAnsi="仿宋"/>
          <w:b/>
          <w:bCs/>
          <w:color w:val="000000"/>
          <w:sz w:val="32"/>
          <w:szCs w:val="32"/>
        </w:rPr>
      </w:pPr>
      <w:r w:rsidRPr="00BA6115">
        <w:rPr>
          <w:rFonts w:ascii="仿宋" w:eastAsia="仿宋" w:hAnsi="仿宋" w:hint="eastAsia"/>
          <w:b/>
          <w:bCs/>
          <w:color w:val="000000"/>
          <w:sz w:val="32"/>
          <w:szCs w:val="32"/>
        </w:rPr>
        <w:lastRenderedPageBreak/>
        <w:t>商学院推荐免试生工作的组织与流程</w:t>
      </w:r>
    </w:p>
    <w:p w14:paraId="193DB7C2" w14:textId="77777777" w:rsidR="00A168DB" w:rsidRDefault="00000000">
      <w:pPr>
        <w:pStyle w:val="a6"/>
        <w:adjustRightInd w:val="0"/>
        <w:spacing w:line="52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学院成立由院长、书记、分管本科教学和学生工作的领导、系（专业教研室)主任和教师代表等有关人员组成的院推荐免试生工作领导小组，负责本院推荐免试生的推荐工作。其中，院长、书记任组长，分管本科教学的领导和分管本科学生工作的领导任副组长。院推荐免试生工作领导小组名单如下：</w:t>
      </w:r>
    </w:p>
    <w:p w14:paraId="6FBF4A2A" w14:textId="0E492887" w:rsidR="00A168DB" w:rsidRDefault="00000000">
      <w:pPr>
        <w:pStyle w:val="a6"/>
        <w:adjustRightInd w:val="0"/>
        <w:spacing w:line="520" w:lineRule="exact"/>
        <w:ind w:firstLineChars="215" w:firstLine="688"/>
        <w:rPr>
          <w:rFonts w:ascii="仿宋" w:eastAsia="仿宋" w:hAnsi="仿宋"/>
          <w:bCs/>
          <w:sz w:val="32"/>
          <w:szCs w:val="32"/>
        </w:rPr>
      </w:pPr>
      <w:r>
        <w:rPr>
          <w:rFonts w:ascii="仿宋" w:eastAsia="仿宋" w:hAnsi="仿宋"/>
          <w:bCs/>
          <w:sz w:val="32"/>
          <w:szCs w:val="32"/>
        </w:rPr>
        <w:t>组</w:t>
      </w:r>
      <w:r>
        <w:rPr>
          <w:rFonts w:ascii="仿宋" w:eastAsia="仿宋" w:hAnsi="仿宋" w:hint="eastAsia"/>
          <w:bCs/>
          <w:sz w:val="32"/>
          <w:szCs w:val="32"/>
        </w:rPr>
        <w:t xml:space="preserve">  </w:t>
      </w:r>
      <w:r>
        <w:rPr>
          <w:rFonts w:ascii="仿宋" w:eastAsia="仿宋" w:hAnsi="仿宋"/>
          <w:bCs/>
          <w:sz w:val="32"/>
          <w:szCs w:val="32"/>
        </w:rPr>
        <w:t>长</w:t>
      </w:r>
      <w:r>
        <w:rPr>
          <w:rFonts w:ascii="仿宋" w:eastAsia="仿宋" w:hAnsi="仿宋" w:hint="eastAsia"/>
          <w:bCs/>
          <w:sz w:val="32"/>
          <w:szCs w:val="32"/>
        </w:rPr>
        <w:t>：</w:t>
      </w:r>
      <w:r w:rsidR="00623004">
        <w:rPr>
          <w:rFonts w:ascii="仿宋" w:eastAsia="仿宋" w:hAnsi="仿宋" w:hint="eastAsia"/>
          <w:bCs/>
          <w:sz w:val="32"/>
          <w:szCs w:val="32"/>
        </w:rPr>
        <w:t>毛新述、张春萍</w:t>
      </w:r>
    </w:p>
    <w:p w14:paraId="5A35B0CC" w14:textId="0AAAEE36" w:rsidR="00623004" w:rsidRDefault="00000000">
      <w:pPr>
        <w:pStyle w:val="a6"/>
        <w:adjustRightInd w:val="0"/>
        <w:spacing w:line="520" w:lineRule="exact"/>
        <w:ind w:firstLineChars="215" w:firstLine="688"/>
        <w:rPr>
          <w:rFonts w:ascii="仿宋" w:eastAsia="仿宋" w:hAnsi="仿宋"/>
          <w:bCs/>
          <w:sz w:val="32"/>
          <w:szCs w:val="32"/>
        </w:rPr>
      </w:pPr>
      <w:r>
        <w:rPr>
          <w:rFonts w:ascii="仿宋" w:eastAsia="仿宋" w:hAnsi="仿宋" w:hint="eastAsia"/>
          <w:bCs/>
          <w:sz w:val="32"/>
          <w:szCs w:val="32"/>
        </w:rPr>
        <w:t>副组长：</w:t>
      </w:r>
      <w:r w:rsidR="00623004">
        <w:rPr>
          <w:rFonts w:ascii="仿宋" w:eastAsia="仿宋" w:hAnsi="仿宋" w:hint="eastAsia"/>
          <w:bCs/>
          <w:sz w:val="32"/>
          <w:szCs w:val="32"/>
        </w:rPr>
        <w:t>张伟华、张倩</w:t>
      </w:r>
    </w:p>
    <w:p w14:paraId="7BD39113" w14:textId="2CB43A04" w:rsidR="00A168DB" w:rsidRDefault="00000000">
      <w:pPr>
        <w:pStyle w:val="a6"/>
        <w:adjustRightInd w:val="0"/>
        <w:spacing w:line="520" w:lineRule="exact"/>
        <w:ind w:firstLineChars="215" w:firstLine="688"/>
        <w:rPr>
          <w:rFonts w:ascii="仿宋" w:eastAsia="仿宋" w:hAnsi="仿宋"/>
          <w:bCs/>
          <w:sz w:val="32"/>
          <w:szCs w:val="32"/>
        </w:rPr>
      </w:pPr>
      <w:r>
        <w:rPr>
          <w:rFonts w:ascii="仿宋" w:eastAsia="仿宋" w:hAnsi="仿宋" w:hint="eastAsia"/>
          <w:bCs/>
          <w:sz w:val="32"/>
          <w:szCs w:val="32"/>
        </w:rPr>
        <w:t>组  员：</w:t>
      </w:r>
      <w:r w:rsidR="00623004">
        <w:rPr>
          <w:rFonts w:ascii="仿宋" w:eastAsia="仿宋" w:hAnsi="仿宋" w:hint="eastAsia"/>
          <w:bCs/>
          <w:sz w:val="32"/>
          <w:szCs w:val="32"/>
        </w:rPr>
        <w:t>孙永波、朱蓉、仇勇、</w:t>
      </w:r>
      <w:r w:rsidR="006511BC">
        <w:rPr>
          <w:rFonts w:ascii="仿宋" w:eastAsia="仿宋" w:hAnsi="仿宋" w:hint="eastAsia"/>
          <w:bCs/>
          <w:sz w:val="32"/>
          <w:szCs w:val="32"/>
        </w:rPr>
        <w:t>刘贝妮、</w:t>
      </w:r>
      <w:r w:rsidR="007E7091">
        <w:rPr>
          <w:rFonts w:ascii="仿宋" w:eastAsia="仿宋" w:hAnsi="仿宋" w:hint="eastAsia"/>
          <w:bCs/>
          <w:sz w:val="32"/>
          <w:szCs w:val="32"/>
        </w:rPr>
        <w:t>刘勇</w:t>
      </w:r>
      <w:r w:rsidR="00623004">
        <w:rPr>
          <w:rFonts w:ascii="仿宋" w:eastAsia="仿宋" w:hAnsi="仿宋" w:hint="eastAsia"/>
          <w:bCs/>
          <w:sz w:val="32"/>
          <w:szCs w:val="32"/>
        </w:rPr>
        <w:t>、张晨宇、彭红星、刘文纲、童盼、</w:t>
      </w:r>
      <w:r w:rsidR="006511BC">
        <w:rPr>
          <w:rFonts w:ascii="仿宋" w:eastAsia="仿宋" w:hAnsi="仿宋" w:hint="eastAsia"/>
          <w:bCs/>
          <w:sz w:val="32"/>
          <w:szCs w:val="32"/>
        </w:rPr>
        <w:t>许晓芳</w:t>
      </w:r>
    </w:p>
    <w:p w14:paraId="7E71892C" w14:textId="77777777" w:rsidR="00A168DB" w:rsidRDefault="00000000">
      <w:pPr>
        <w:spacing w:line="520" w:lineRule="exact"/>
        <w:ind w:firstLineChars="200" w:firstLine="640"/>
        <w:rPr>
          <w:rFonts w:ascii="仿宋" w:eastAsia="仿宋" w:hAnsi="仿宋"/>
          <w:sz w:val="32"/>
          <w:szCs w:val="32"/>
        </w:rPr>
      </w:pPr>
      <w:r>
        <w:rPr>
          <w:rFonts w:ascii="仿宋" w:eastAsia="仿宋" w:hAnsi="仿宋" w:hint="eastAsia"/>
          <w:color w:val="000000"/>
          <w:sz w:val="32"/>
          <w:szCs w:val="32"/>
        </w:rPr>
        <w:t>（二）</w:t>
      </w:r>
      <w:r>
        <w:rPr>
          <w:rFonts w:ascii="仿宋" w:eastAsia="仿宋" w:hAnsi="仿宋" w:hint="eastAsia"/>
          <w:sz w:val="32"/>
          <w:szCs w:val="32"/>
        </w:rPr>
        <w:t>推免生工作坚持公开、公平、公正原则，在对考生进行全面考查的基础上，实行择优选拔，做到程序透明、操作规范、结果公开。</w:t>
      </w:r>
    </w:p>
    <w:p w14:paraId="64A8662D" w14:textId="77777777" w:rsidR="00A168DB" w:rsidRDefault="00000000">
      <w:pPr>
        <w:pStyle w:val="a6"/>
        <w:adjustRightInd w:val="0"/>
        <w:spacing w:line="520" w:lineRule="exact"/>
        <w:ind w:firstLine="688"/>
        <w:rPr>
          <w:rFonts w:ascii="仿宋" w:eastAsia="仿宋" w:hAnsi="仿宋"/>
          <w:color w:val="000000"/>
          <w:sz w:val="32"/>
          <w:szCs w:val="32"/>
        </w:rPr>
      </w:pPr>
      <w:r>
        <w:rPr>
          <w:rFonts w:ascii="仿宋" w:eastAsia="仿宋" w:hAnsi="仿宋" w:hint="eastAsia"/>
          <w:color w:val="000000"/>
          <w:sz w:val="32"/>
          <w:szCs w:val="32"/>
        </w:rPr>
        <w:t>（三）推荐免试生的工作程序如下：</w:t>
      </w:r>
    </w:p>
    <w:p w14:paraId="2B64BCAB" w14:textId="7C9490C2" w:rsidR="00A168DB" w:rsidRDefault="00000000">
      <w:pPr>
        <w:spacing w:line="520" w:lineRule="exact"/>
        <w:ind w:firstLineChars="200" w:firstLine="640"/>
        <w:rPr>
          <w:rFonts w:ascii="仿宋" w:eastAsia="仿宋" w:hAnsi="仿宋"/>
          <w:sz w:val="32"/>
          <w:szCs w:val="32"/>
        </w:rPr>
      </w:pPr>
      <w:r>
        <w:rPr>
          <w:rFonts w:ascii="仿宋" w:eastAsia="仿宋" w:hAnsi="仿宋" w:hint="eastAsia"/>
          <w:color w:val="000000"/>
          <w:sz w:val="32"/>
          <w:szCs w:val="32"/>
        </w:rPr>
        <w:t>1、个人申请。凡符合推荐免试生遴选条件的应届本科毕业生于</w:t>
      </w:r>
      <w:r>
        <w:rPr>
          <w:rFonts w:ascii="仿宋" w:eastAsia="仿宋" w:hAnsi="仿宋"/>
          <w:sz w:val="32"/>
          <w:szCs w:val="32"/>
        </w:rPr>
        <w:t>2022</w:t>
      </w:r>
      <w:r>
        <w:rPr>
          <w:rFonts w:ascii="仿宋" w:eastAsia="仿宋" w:hAnsi="仿宋" w:hint="eastAsia"/>
          <w:sz w:val="32"/>
          <w:szCs w:val="32"/>
        </w:rPr>
        <w:t>年</w:t>
      </w:r>
      <w:r>
        <w:rPr>
          <w:rFonts w:ascii="仿宋" w:eastAsia="仿宋" w:hAnsi="仿宋"/>
          <w:sz w:val="32"/>
          <w:szCs w:val="32"/>
        </w:rPr>
        <w:t>9月13</w:t>
      </w:r>
      <w:r>
        <w:rPr>
          <w:rFonts w:ascii="仿宋" w:eastAsia="仿宋" w:hAnsi="仿宋" w:hint="eastAsia"/>
          <w:sz w:val="32"/>
          <w:szCs w:val="32"/>
        </w:rPr>
        <w:t>日上午</w:t>
      </w:r>
      <w:r>
        <w:rPr>
          <w:rFonts w:ascii="仿宋" w:eastAsia="仿宋" w:hAnsi="仿宋"/>
          <w:sz w:val="32"/>
          <w:szCs w:val="32"/>
        </w:rPr>
        <w:t>9:00-12:00</w:t>
      </w:r>
      <w:r>
        <w:rPr>
          <w:rFonts w:ascii="仿宋" w:eastAsia="仿宋" w:hAnsi="仿宋" w:hint="eastAsia"/>
          <w:sz w:val="32"/>
          <w:szCs w:val="32"/>
        </w:rPr>
        <w:t>向学</w:t>
      </w:r>
      <w:r>
        <w:rPr>
          <w:rFonts w:ascii="仿宋" w:eastAsia="仿宋" w:hAnsi="仿宋" w:hint="eastAsia"/>
          <w:color w:val="000000"/>
          <w:sz w:val="32"/>
          <w:szCs w:val="32"/>
        </w:rPr>
        <w:t>院提</w:t>
      </w:r>
      <w:r>
        <w:rPr>
          <w:rFonts w:ascii="仿宋" w:eastAsia="仿宋" w:hAnsi="仿宋" w:hint="eastAsia"/>
          <w:sz w:val="32"/>
          <w:szCs w:val="32"/>
        </w:rPr>
        <w:t>交申请表格及相关证明材料</w:t>
      </w:r>
      <w:r>
        <w:rPr>
          <w:rFonts w:ascii="仿宋" w:eastAsia="仿宋" w:hAnsi="仿宋" w:hint="eastAsia"/>
          <w:color w:val="000000"/>
          <w:sz w:val="32"/>
          <w:szCs w:val="32"/>
        </w:rPr>
        <w:t>的原件和复印件(二份)。</w:t>
      </w:r>
      <w:r>
        <w:rPr>
          <w:rFonts w:ascii="仿宋" w:eastAsia="仿宋" w:hAnsi="仿宋" w:hint="eastAsia"/>
          <w:sz w:val="32"/>
          <w:szCs w:val="32"/>
        </w:rPr>
        <w:t>未提交相关表格和材料者视为自愿放弃推免生资格的选拔。</w:t>
      </w:r>
    </w:p>
    <w:p w14:paraId="52A6AA50" w14:textId="614D5EA8" w:rsidR="00A168DB" w:rsidRDefault="00000000">
      <w:pPr>
        <w:autoSpaceDE w:val="0"/>
        <w:autoSpaceDN w:val="0"/>
        <w:adjustRightInd w:val="0"/>
        <w:snapToGrid w:val="0"/>
        <w:spacing w:line="560" w:lineRule="exact"/>
        <w:ind w:firstLineChars="200" w:firstLine="640"/>
        <w:rPr>
          <w:rFonts w:ascii="仿宋" w:eastAsia="仿宋" w:hAnsi="仿宋"/>
          <w:sz w:val="32"/>
          <w:szCs w:val="32"/>
        </w:rPr>
      </w:pPr>
      <w:r>
        <w:rPr>
          <w:rFonts w:ascii="仿宋" w:eastAsia="仿宋" w:hAnsi="仿宋" w:hint="eastAsia"/>
          <w:color w:val="000000"/>
          <w:sz w:val="32"/>
          <w:szCs w:val="32"/>
        </w:rPr>
        <w:t>2、资格初审。</w:t>
      </w:r>
      <w:r w:rsidRPr="00A5667F">
        <w:rPr>
          <w:rFonts w:ascii="仿宋" w:eastAsia="仿宋" w:hAnsi="仿宋"/>
          <w:color w:val="333333"/>
          <w:sz w:val="32"/>
          <w:szCs w:val="32"/>
        </w:rPr>
        <w:t>学院推荐免试生工作领导小组严格按照推荐免试生遴选条件及有关具体规定，对申请对象进行学籍、违纪情况、绩点、综合测评、</w:t>
      </w:r>
      <w:r w:rsidR="00BA6115" w:rsidRPr="00BA6115">
        <w:rPr>
          <w:rFonts w:ascii="仿宋" w:eastAsia="仿宋" w:hAnsi="仿宋" w:hint="eastAsia"/>
          <w:color w:val="333333"/>
          <w:sz w:val="32"/>
          <w:szCs w:val="32"/>
        </w:rPr>
        <w:t>外语成绩、学科竞赛获奖、科研成果、政治面貌、社会工作等基本条件进行审查和排序</w:t>
      </w:r>
      <w:r w:rsidRPr="00A5667F">
        <w:rPr>
          <w:rFonts w:ascii="仿宋" w:eastAsia="仿宋" w:hAnsi="仿宋"/>
          <w:color w:val="333333"/>
          <w:sz w:val="32"/>
          <w:szCs w:val="32"/>
        </w:rPr>
        <w:t>（综合成绩相同者，按绩点成绩排序）。</w:t>
      </w:r>
    </w:p>
    <w:p w14:paraId="5EE08FC2" w14:textId="0BE6DBC1" w:rsidR="00A168DB" w:rsidRPr="00BC0170" w:rsidRDefault="00000000">
      <w:pPr>
        <w:pStyle w:val="a4"/>
        <w:spacing w:line="52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3、学院确定初选名单。</w:t>
      </w:r>
      <w:r w:rsidR="00BC0170" w:rsidRPr="00BC0170">
        <w:rPr>
          <w:rFonts w:ascii="仿宋" w:eastAsia="仿宋" w:hAnsi="仿宋" w:hint="eastAsia"/>
          <w:color w:val="000000"/>
          <w:sz w:val="32"/>
          <w:szCs w:val="32"/>
        </w:rPr>
        <w:t>学院按分配名额1：1.5的比例确定推免初选名单。推免学生按照综合成绩排序（综合成绩相同者，按绩点成绩排序）。同时将资格审查和排序结果在学院网站（或公示栏）公布。公布信息要求包括：学生姓名、专业、绩点、学科竞赛加分、科研成果加分、综合测评平均分等。</w:t>
      </w:r>
    </w:p>
    <w:p w14:paraId="2ED9AE96" w14:textId="3770B526" w:rsidR="00A168DB" w:rsidRDefault="00000000">
      <w:pPr>
        <w:pStyle w:val="a4"/>
        <w:spacing w:line="520" w:lineRule="exact"/>
        <w:ind w:firstLineChars="200" w:firstLine="640"/>
        <w:rPr>
          <w:rFonts w:ascii="仿宋" w:eastAsia="仿宋" w:hAnsi="仿宋"/>
          <w:color w:val="000000"/>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color w:val="000000"/>
          <w:sz w:val="32"/>
          <w:szCs w:val="32"/>
        </w:rPr>
        <w:t>学校确定最终名单。学校按照学院直接推免和专项推免分配名额的1:1.2比例分别</w:t>
      </w:r>
      <w:r>
        <w:rPr>
          <w:rFonts w:ascii="仿宋" w:eastAsia="仿宋" w:hAnsi="仿宋" w:hint="eastAsia"/>
          <w:sz w:val="32"/>
          <w:szCs w:val="32"/>
        </w:rPr>
        <w:t>确定正式推荐学生名单和候补推荐学生名单</w:t>
      </w:r>
      <w:r>
        <w:rPr>
          <w:rFonts w:ascii="仿宋" w:eastAsia="仿宋" w:hAnsi="仿宋" w:hint="eastAsia"/>
          <w:color w:val="000000"/>
          <w:sz w:val="32"/>
          <w:szCs w:val="32"/>
        </w:rPr>
        <w:t>，并将审核通过学生的全部材料在学校网站上进行公示。</w:t>
      </w:r>
    </w:p>
    <w:p w14:paraId="700B775F" w14:textId="219D3D66" w:rsidR="00A168DB" w:rsidRDefault="00000000">
      <w:pPr>
        <w:pStyle w:val="a4"/>
        <w:spacing w:line="520" w:lineRule="exact"/>
        <w:ind w:firstLineChars="200" w:firstLine="640"/>
        <w:rPr>
          <w:rFonts w:ascii="仿宋" w:eastAsia="仿宋" w:hAnsi="仿宋"/>
          <w:color w:val="000000"/>
          <w:sz w:val="32"/>
          <w:szCs w:val="32"/>
        </w:rPr>
      </w:pPr>
      <w:r>
        <w:rPr>
          <w:rFonts w:ascii="仿宋" w:eastAsia="仿宋" w:hAnsi="仿宋"/>
          <w:sz w:val="32"/>
          <w:szCs w:val="32"/>
        </w:rPr>
        <w:t xml:space="preserve">5、 </w:t>
      </w:r>
      <w:r>
        <w:rPr>
          <w:rFonts w:ascii="仿宋" w:eastAsia="仿宋" w:hAnsi="仿宋" w:hint="eastAsia"/>
          <w:sz w:val="32"/>
          <w:szCs w:val="32"/>
        </w:rPr>
        <w:t>学校</w:t>
      </w:r>
      <w:r>
        <w:rPr>
          <w:rFonts w:ascii="仿宋" w:eastAsia="仿宋" w:hAnsi="仿宋" w:hint="eastAsia"/>
          <w:color w:val="000000"/>
          <w:sz w:val="32"/>
          <w:szCs w:val="32"/>
        </w:rPr>
        <w:t>将公示无异议的名单报北京市教育考试院招办批准。通过以上程序的学生即取得推荐免试生的资格。</w:t>
      </w:r>
    </w:p>
    <w:p w14:paraId="02EF7146" w14:textId="77777777" w:rsidR="00A168DB" w:rsidRDefault="00000000">
      <w:pPr>
        <w:pStyle w:val="13"/>
        <w:numPr>
          <w:ilvl w:val="0"/>
          <w:numId w:val="1"/>
        </w:numPr>
        <w:spacing w:line="520" w:lineRule="exact"/>
        <w:ind w:firstLineChars="0"/>
        <w:jc w:val="left"/>
        <w:rPr>
          <w:rFonts w:ascii="仿宋" w:eastAsia="仿宋" w:hAnsi="仿宋"/>
          <w:b/>
          <w:bCs/>
          <w:color w:val="000000"/>
          <w:sz w:val="32"/>
          <w:szCs w:val="32"/>
        </w:rPr>
      </w:pPr>
      <w:r>
        <w:rPr>
          <w:rFonts w:ascii="仿宋" w:eastAsia="仿宋" w:hAnsi="仿宋" w:hint="eastAsia"/>
          <w:b/>
          <w:bCs/>
          <w:color w:val="000000"/>
          <w:sz w:val="32"/>
          <w:szCs w:val="32"/>
        </w:rPr>
        <w:t>违规处理</w:t>
      </w:r>
    </w:p>
    <w:p w14:paraId="36D9445A" w14:textId="765BCD60" w:rsidR="00A168DB" w:rsidRDefault="00000000">
      <w:pPr>
        <w:pStyle w:val="a6"/>
        <w:adjustRightInd w:val="0"/>
        <w:spacing w:line="520" w:lineRule="exact"/>
        <w:ind w:firstLineChars="200" w:firstLine="640"/>
        <w:rPr>
          <w:rFonts w:ascii="仿宋_GB2312" w:eastAsia="仿宋_GB2312" w:hAnsi="宋体" w:cs="宋体"/>
          <w:kern w:val="0"/>
          <w:sz w:val="32"/>
          <w:szCs w:val="24"/>
          <w:lang w:val="zh-CN"/>
        </w:rPr>
      </w:pPr>
      <w:r>
        <w:rPr>
          <w:rFonts w:ascii="仿宋" w:eastAsia="仿宋" w:hAnsi="仿宋" w:hint="eastAsia"/>
          <w:color w:val="000000"/>
          <w:sz w:val="32"/>
          <w:szCs w:val="32"/>
        </w:rPr>
        <w:t>根据教育部的规定，</w:t>
      </w:r>
      <w:bookmarkStart w:id="2" w:name="_Hlk51530622"/>
      <w:r>
        <w:rPr>
          <w:rFonts w:ascii="仿宋_GB2312" w:eastAsia="仿宋_GB2312" w:hAnsi="宋体" w:cs="宋体" w:hint="eastAsia"/>
          <w:kern w:val="0"/>
          <w:sz w:val="32"/>
          <w:szCs w:val="24"/>
          <w:lang w:val="zh-CN"/>
        </w:rPr>
        <w:t>对在推免过程中弄虚作假，有论文抄袭、虚报获奖或科研成果等学术不端行为或者有其他严重影响推免过程和结果公平公正行为的学生，一经查实，取消推免资格</w:t>
      </w:r>
      <w:bookmarkEnd w:id="2"/>
      <w:r>
        <w:rPr>
          <w:rFonts w:ascii="仿宋_GB2312" w:eastAsia="仿宋_GB2312" w:hAnsi="宋体" w:cs="宋体" w:hint="eastAsia"/>
          <w:kern w:val="0"/>
          <w:sz w:val="32"/>
          <w:szCs w:val="24"/>
          <w:lang w:val="zh-CN"/>
        </w:rPr>
        <w:t>，已入学的，取消学籍，并由推荐高校所在地的省级教育招生考试机构按规定记入《国家教育考试考生诚信档案》。</w:t>
      </w:r>
    </w:p>
    <w:p w14:paraId="481FF3D5" w14:textId="77777777" w:rsidR="00A168DB" w:rsidRDefault="00000000">
      <w:pPr>
        <w:pStyle w:val="13"/>
        <w:numPr>
          <w:ilvl w:val="0"/>
          <w:numId w:val="1"/>
        </w:numPr>
        <w:spacing w:line="520" w:lineRule="exact"/>
        <w:ind w:firstLineChars="0"/>
        <w:rPr>
          <w:rFonts w:ascii="仿宋" w:eastAsia="仿宋" w:hAnsi="仿宋"/>
          <w:b/>
          <w:bCs/>
          <w:color w:val="000000"/>
          <w:sz w:val="32"/>
          <w:szCs w:val="32"/>
        </w:rPr>
      </w:pPr>
      <w:r>
        <w:rPr>
          <w:rFonts w:ascii="仿宋" w:eastAsia="仿宋" w:hAnsi="仿宋" w:hint="eastAsia"/>
          <w:b/>
          <w:bCs/>
          <w:color w:val="000000"/>
          <w:sz w:val="32"/>
          <w:szCs w:val="32"/>
        </w:rPr>
        <w:t>附则</w:t>
      </w:r>
    </w:p>
    <w:p w14:paraId="26161ADE" w14:textId="284934F8" w:rsidR="00A168DB" w:rsidRDefault="00000000" w:rsidP="00A5667F">
      <w:pPr>
        <w:pStyle w:val="a6"/>
        <w:adjustRightInd w:val="0"/>
        <w:spacing w:line="520" w:lineRule="exact"/>
        <w:ind w:firstLineChars="200" w:firstLine="640"/>
        <w:rPr>
          <w:rFonts w:ascii="仿宋" w:eastAsia="仿宋" w:hAnsi="仿宋"/>
          <w:color w:val="000000"/>
          <w:sz w:val="32"/>
          <w:szCs w:val="32"/>
        </w:rPr>
      </w:pPr>
      <w:r>
        <w:rPr>
          <w:rFonts w:ascii="仿宋_GB2312" w:eastAsia="仿宋_GB2312" w:hAnsi="宋体" w:cs="宋体" w:hint="eastAsia"/>
          <w:kern w:val="0"/>
          <w:sz w:val="32"/>
          <w:szCs w:val="24"/>
        </w:rPr>
        <w:t>本暂行规定最终解释权归商学院所有。</w:t>
      </w:r>
    </w:p>
    <w:p w14:paraId="39118746" w14:textId="77777777" w:rsidR="00A168DB" w:rsidRDefault="00A168DB">
      <w:pPr>
        <w:pStyle w:val="a4"/>
        <w:spacing w:line="520" w:lineRule="exact"/>
        <w:ind w:firstLineChars="200" w:firstLine="640"/>
        <w:rPr>
          <w:rFonts w:ascii="仿宋" w:eastAsia="仿宋" w:hAnsi="仿宋"/>
          <w:color w:val="000000"/>
          <w:sz w:val="32"/>
          <w:szCs w:val="32"/>
        </w:rPr>
      </w:pPr>
    </w:p>
    <w:sectPr w:rsidR="00A168DB">
      <w:footerReference w:type="even" r:id="rId8"/>
      <w:footerReference w:type="default" r:id="rId9"/>
      <w:pgSz w:w="11906" w:h="16838"/>
      <w:pgMar w:top="1559" w:right="1797" w:bottom="779"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9047" w14:textId="77777777" w:rsidR="00416C29" w:rsidRDefault="00416C29">
      <w:pPr>
        <w:spacing w:after="0" w:line="240" w:lineRule="auto"/>
      </w:pPr>
      <w:r>
        <w:separator/>
      </w:r>
    </w:p>
  </w:endnote>
  <w:endnote w:type="continuationSeparator" w:id="0">
    <w:p w14:paraId="786A74A0" w14:textId="77777777" w:rsidR="00416C29" w:rsidRDefault="0041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AD0B" w14:textId="77777777" w:rsidR="00A168DB" w:rsidRDefault="0000000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5667F">
      <w:rPr>
        <w:rStyle w:val="af"/>
        <w:noProof/>
      </w:rPr>
      <w:t>2</w:t>
    </w:r>
    <w:r>
      <w:rPr>
        <w:rStyle w:val="af"/>
      </w:rPr>
      <w:fldChar w:fldCharType="end"/>
    </w:r>
  </w:p>
  <w:p w14:paraId="796E4D11" w14:textId="77777777" w:rsidR="00A168DB" w:rsidRDefault="00A168D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5A23" w14:textId="77777777" w:rsidR="00A168DB" w:rsidRDefault="0000000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2</w:t>
    </w:r>
    <w:r>
      <w:rPr>
        <w:rStyle w:val="af"/>
      </w:rPr>
      <w:fldChar w:fldCharType="end"/>
    </w:r>
  </w:p>
  <w:p w14:paraId="2553D7D1" w14:textId="77777777" w:rsidR="00A168DB" w:rsidRDefault="00A168D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845F" w14:textId="77777777" w:rsidR="00416C29" w:rsidRDefault="00416C29">
      <w:pPr>
        <w:spacing w:after="0" w:line="240" w:lineRule="auto"/>
      </w:pPr>
      <w:r>
        <w:separator/>
      </w:r>
    </w:p>
  </w:footnote>
  <w:footnote w:type="continuationSeparator" w:id="0">
    <w:p w14:paraId="47CBE2CE" w14:textId="77777777" w:rsidR="00416C29" w:rsidRDefault="00416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6853"/>
    <w:multiLevelType w:val="multilevel"/>
    <w:tmpl w:val="2DF66853"/>
    <w:lvl w:ilvl="0">
      <w:start w:val="1"/>
      <w:numFmt w:val="japaneseCounting"/>
      <w:lvlText w:val="%1、"/>
      <w:lvlJc w:val="left"/>
      <w:pPr>
        <w:ind w:left="1140" w:hanging="420"/>
      </w:pPr>
      <w:rPr>
        <w:rFonts w:hint="default"/>
        <w:b/>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16cid:durableId="103751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wNzUzY2E5NWEzNGY5MDcwZDU1Mjk3Y2MzYmJhZTUifQ=="/>
  </w:docVars>
  <w:rsids>
    <w:rsidRoot w:val="00C87D4A"/>
    <w:rsid w:val="AEFBF8AB"/>
    <w:rsid w:val="B3F74003"/>
    <w:rsid w:val="BF7FA77C"/>
    <w:rsid w:val="BFFFF095"/>
    <w:rsid w:val="CFAFC54D"/>
    <w:rsid w:val="DBF77B14"/>
    <w:rsid w:val="DEFBDD68"/>
    <w:rsid w:val="E7FD9B63"/>
    <w:rsid w:val="ECF7FAF5"/>
    <w:rsid w:val="ECFFBF13"/>
    <w:rsid w:val="F9DF705B"/>
    <w:rsid w:val="FBF7C6E3"/>
    <w:rsid w:val="FEBE2A07"/>
    <w:rsid w:val="FFA7E8A0"/>
    <w:rsid w:val="FFF9B7EC"/>
    <w:rsid w:val="FFFD6884"/>
    <w:rsid w:val="00004CE4"/>
    <w:rsid w:val="0001667D"/>
    <w:rsid w:val="00016E04"/>
    <w:rsid w:val="0001709B"/>
    <w:rsid w:val="00036443"/>
    <w:rsid w:val="000456E5"/>
    <w:rsid w:val="000459B6"/>
    <w:rsid w:val="000657D0"/>
    <w:rsid w:val="00065DD6"/>
    <w:rsid w:val="00072B5E"/>
    <w:rsid w:val="000872F0"/>
    <w:rsid w:val="000944F4"/>
    <w:rsid w:val="000A5806"/>
    <w:rsid w:val="000B5597"/>
    <w:rsid w:val="000C0573"/>
    <w:rsid w:val="000D5BC0"/>
    <w:rsid w:val="000E0285"/>
    <w:rsid w:val="000E6729"/>
    <w:rsid w:val="000F47C6"/>
    <w:rsid w:val="001214E9"/>
    <w:rsid w:val="00125964"/>
    <w:rsid w:val="00131276"/>
    <w:rsid w:val="00131C4B"/>
    <w:rsid w:val="00143802"/>
    <w:rsid w:val="00146A5D"/>
    <w:rsid w:val="001639FD"/>
    <w:rsid w:val="0017053D"/>
    <w:rsid w:val="00171AE6"/>
    <w:rsid w:val="001857D3"/>
    <w:rsid w:val="00192299"/>
    <w:rsid w:val="001942AB"/>
    <w:rsid w:val="00195B74"/>
    <w:rsid w:val="001A1C9C"/>
    <w:rsid w:val="001A35CA"/>
    <w:rsid w:val="001A6793"/>
    <w:rsid w:val="001B2254"/>
    <w:rsid w:val="001C580E"/>
    <w:rsid w:val="001C659C"/>
    <w:rsid w:val="001D6D22"/>
    <w:rsid w:val="001D714E"/>
    <w:rsid w:val="001D7BAB"/>
    <w:rsid w:val="001E33EA"/>
    <w:rsid w:val="0021283C"/>
    <w:rsid w:val="00231C7A"/>
    <w:rsid w:val="00245C08"/>
    <w:rsid w:val="00246FD0"/>
    <w:rsid w:val="00257408"/>
    <w:rsid w:val="00262852"/>
    <w:rsid w:val="00265B76"/>
    <w:rsid w:val="002768CD"/>
    <w:rsid w:val="002975E3"/>
    <w:rsid w:val="002A09F8"/>
    <w:rsid w:val="002B109B"/>
    <w:rsid w:val="002C437F"/>
    <w:rsid w:val="002C46CA"/>
    <w:rsid w:val="002D22C0"/>
    <w:rsid w:val="002E216C"/>
    <w:rsid w:val="002F73E5"/>
    <w:rsid w:val="00324689"/>
    <w:rsid w:val="00331C63"/>
    <w:rsid w:val="003377D1"/>
    <w:rsid w:val="003973EB"/>
    <w:rsid w:val="00397F68"/>
    <w:rsid w:val="003A0DA9"/>
    <w:rsid w:val="003B61A9"/>
    <w:rsid w:val="003E01B5"/>
    <w:rsid w:val="003F4224"/>
    <w:rsid w:val="00412355"/>
    <w:rsid w:val="00416C29"/>
    <w:rsid w:val="00440955"/>
    <w:rsid w:val="00461046"/>
    <w:rsid w:val="00472B5B"/>
    <w:rsid w:val="00483019"/>
    <w:rsid w:val="0048656B"/>
    <w:rsid w:val="00494509"/>
    <w:rsid w:val="0049774E"/>
    <w:rsid w:val="004B6F43"/>
    <w:rsid w:val="004C44BB"/>
    <w:rsid w:val="004D258E"/>
    <w:rsid w:val="004D655F"/>
    <w:rsid w:val="004D6750"/>
    <w:rsid w:val="004F2D8E"/>
    <w:rsid w:val="00510362"/>
    <w:rsid w:val="00550BE7"/>
    <w:rsid w:val="005547FE"/>
    <w:rsid w:val="00561B59"/>
    <w:rsid w:val="00564411"/>
    <w:rsid w:val="005652E6"/>
    <w:rsid w:val="00586ADC"/>
    <w:rsid w:val="005B6CBC"/>
    <w:rsid w:val="005C2C16"/>
    <w:rsid w:val="005C6B40"/>
    <w:rsid w:val="005E5AE1"/>
    <w:rsid w:val="005F3CE1"/>
    <w:rsid w:val="00603C7C"/>
    <w:rsid w:val="00611A5A"/>
    <w:rsid w:val="00623004"/>
    <w:rsid w:val="006336D9"/>
    <w:rsid w:val="00640C9E"/>
    <w:rsid w:val="006511BC"/>
    <w:rsid w:val="00652E19"/>
    <w:rsid w:val="00655CC0"/>
    <w:rsid w:val="006568E7"/>
    <w:rsid w:val="00664E54"/>
    <w:rsid w:val="00683F14"/>
    <w:rsid w:val="006A680C"/>
    <w:rsid w:val="006A6B4D"/>
    <w:rsid w:val="006B050C"/>
    <w:rsid w:val="006B0922"/>
    <w:rsid w:val="006C2AED"/>
    <w:rsid w:val="006C42E4"/>
    <w:rsid w:val="006E5C52"/>
    <w:rsid w:val="00702732"/>
    <w:rsid w:val="007075E0"/>
    <w:rsid w:val="00717BE3"/>
    <w:rsid w:val="00740FC2"/>
    <w:rsid w:val="00790BA6"/>
    <w:rsid w:val="00790E8A"/>
    <w:rsid w:val="00792F2D"/>
    <w:rsid w:val="007A3BAD"/>
    <w:rsid w:val="007B14DA"/>
    <w:rsid w:val="007B1AB1"/>
    <w:rsid w:val="007D53E1"/>
    <w:rsid w:val="007E62FC"/>
    <w:rsid w:val="007E7091"/>
    <w:rsid w:val="007F7669"/>
    <w:rsid w:val="008062E9"/>
    <w:rsid w:val="0080787C"/>
    <w:rsid w:val="00813A15"/>
    <w:rsid w:val="0082233F"/>
    <w:rsid w:val="00823494"/>
    <w:rsid w:val="0082391C"/>
    <w:rsid w:val="008408E5"/>
    <w:rsid w:val="00841FC8"/>
    <w:rsid w:val="0084273F"/>
    <w:rsid w:val="00852BBD"/>
    <w:rsid w:val="00855440"/>
    <w:rsid w:val="00863DDD"/>
    <w:rsid w:val="008963C9"/>
    <w:rsid w:val="008A551A"/>
    <w:rsid w:val="008B3C65"/>
    <w:rsid w:val="008B478F"/>
    <w:rsid w:val="008D01E0"/>
    <w:rsid w:val="008D4AAF"/>
    <w:rsid w:val="008F1857"/>
    <w:rsid w:val="0090248F"/>
    <w:rsid w:val="0091353C"/>
    <w:rsid w:val="009372DD"/>
    <w:rsid w:val="0095054B"/>
    <w:rsid w:val="00951538"/>
    <w:rsid w:val="00963901"/>
    <w:rsid w:val="00982E3B"/>
    <w:rsid w:val="00994930"/>
    <w:rsid w:val="009A5710"/>
    <w:rsid w:val="009B7A27"/>
    <w:rsid w:val="009C1057"/>
    <w:rsid w:val="009D1D37"/>
    <w:rsid w:val="00A06525"/>
    <w:rsid w:val="00A168DB"/>
    <w:rsid w:val="00A16EC4"/>
    <w:rsid w:val="00A43BB4"/>
    <w:rsid w:val="00A44EFE"/>
    <w:rsid w:val="00A5667F"/>
    <w:rsid w:val="00A86F64"/>
    <w:rsid w:val="00A90BC4"/>
    <w:rsid w:val="00AA462E"/>
    <w:rsid w:val="00AC08A6"/>
    <w:rsid w:val="00AC4739"/>
    <w:rsid w:val="00AD1C14"/>
    <w:rsid w:val="00AD35B8"/>
    <w:rsid w:val="00AE034A"/>
    <w:rsid w:val="00AE085B"/>
    <w:rsid w:val="00AE2946"/>
    <w:rsid w:val="00AE41C9"/>
    <w:rsid w:val="00B1298B"/>
    <w:rsid w:val="00B26A10"/>
    <w:rsid w:val="00B56DD8"/>
    <w:rsid w:val="00B77F69"/>
    <w:rsid w:val="00B80BE7"/>
    <w:rsid w:val="00BA6115"/>
    <w:rsid w:val="00BC0170"/>
    <w:rsid w:val="00BD59BF"/>
    <w:rsid w:val="00BF3BC8"/>
    <w:rsid w:val="00BF587E"/>
    <w:rsid w:val="00BF775B"/>
    <w:rsid w:val="00C0456A"/>
    <w:rsid w:val="00C07F7A"/>
    <w:rsid w:val="00C20BCE"/>
    <w:rsid w:val="00C33E72"/>
    <w:rsid w:val="00C35C0E"/>
    <w:rsid w:val="00C40F91"/>
    <w:rsid w:val="00C47F41"/>
    <w:rsid w:val="00C52E5F"/>
    <w:rsid w:val="00C602ED"/>
    <w:rsid w:val="00C87D4A"/>
    <w:rsid w:val="00C904E7"/>
    <w:rsid w:val="00CA78AB"/>
    <w:rsid w:val="00CB409B"/>
    <w:rsid w:val="00CC6B13"/>
    <w:rsid w:val="00CD622F"/>
    <w:rsid w:val="00CF284F"/>
    <w:rsid w:val="00CF3C98"/>
    <w:rsid w:val="00D06255"/>
    <w:rsid w:val="00D40C55"/>
    <w:rsid w:val="00D54D92"/>
    <w:rsid w:val="00D761AA"/>
    <w:rsid w:val="00DC2473"/>
    <w:rsid w:val="00DC7E1F"/>
    <w:rsid w:val="00DC7F25"/>
    <w:rsid w:val="00DD450F"/>
    <w:rsid w:val="00DD7E5C"/>
    <w:rsid w:val="00DE3F96"/>
    <w:rsid w:val="00DE58E7"/>
    <w:rsid w:val="00E05B8C"/>
    <w:rsid w:val="00E075E5"/>
    <w:rsid w:val="00E13E78"/>
    <w:rsid w:val="00E25E81"/>
    <w:rsid w:val="00E40936"/>
    <w:rsid w:val="00E6065B"/>
    <w:rsid w:val="00E60BC4"/>
    <w:rsid w:val="00E66319"/>
    <w:rsid w:val="00EB1734"/>
    <w:rsid w:val="00EB50D2"/>
    <w:rsid w:val="00EC6C62"/>
    <w:rsid w:val="00ED5372"/>
    <w:rsid w:val="00ED6512"/>
    <w:rsid w:val="00EE610D"/>
    <w:rsid w:val="00EF60D1"/>
    <w:rsid w:val="00F03C9A"/>
    <w:rsid w:val="00F23852"/>
    <w:rsid w:val="00F252EE"/>
    <w:rsid w:val="00F25FF8"/>
    <w:rsid w:val="00F3272E"/>
    <w:rsid w:val="00F332A1"/>
    <w:rsid w:val="00F3359C"/>
    <w:rsid w:val="00F63B24"/>
    <w:rsid w:val="00F660F5"/>
    <w:rsid w:val="00F923C0"/>
    <w:rsid w:val="00F939A4"/>
    <w:rsid w:val="00F94EF9"/>
    <w:rsid w:val="00F97D24"/>
    <w:rsid w:val="00FD7C72"/>
    <w:rsid w:val="02292964"/>
    <w:rsid w:val="026932A0"/>
    <w:rsid w:val="04EB5E0C"/>
    <w:rsid w:val="057F036E"/>
    <w:rsid w:val="05C367E7"/>
    <w:rsid w:val="06917D23"/>
    <w:rsid w:val="06B539F1"/>
    <w:rsid w:val="07720D6A"/>
    <w:rsid w:val="07F5275A"/>
    <w:rsid w:val="085A0175"/>
    <w:rsid w:val="0880365A"/>
    <w:rsid w:val="0906750F"/>
    <w:rsid w:val="0BA27BAD"/>
    <w:rsid w:val="0BCD35FD"/>
    <w:rsid w:val="0CE4709D"/>
    <w:rsid w:val="0EA558B7"/>
    <w:rsid w:val="10202409"/>
    <w:rsid w:val="10772D56"/>
    <w:rsid w:val="10F96130"/>
    <w:rsid w:val="11BE47C3"/>
    <w:rsid w:val="1228284B"/>
    <w:rsid w:val="13940A96"/>
    <w:rsid w:val="139F4A85"/>
    <w:rsid w:val="143F76AB"/>
    <w:rsid w:val="15330F35"/>
    <w:rsid w:val="176B4F68"/>
    <w:rsid w:val="18387900"/>
    <w:rsid w:val="18E96537"/>
    <w:rsid w:val="195E0CE7"/>
    <w:rsid w:val="19730CCB"/>
    <w:rsid w:val="1A2502F1"/>
    <w:rsid w:val="1AE02FF1"/>
    <w:rsid w:val="1B1C4FD7"/>
    <w:rsid w:val="1BA1791E"/>
    <w:rsid w:val="1BC27FB0"/>
    <w:rsid w:val="1D1A3EB7"/>
    <w:rsid w:val="1D7C27E5"/>
    <w:rsid w:val="1F4D544F"/>
    <w:rsid w:val="1FFF1BEF"/>
    <w:rsid w:val="203A2834"/>
    <w:rsid w:val="20AC7181"/>
    <w:rsid w:val="22D645FD"/>
    <w:rsid w:val="235261CC"/>
    <w:rsid w:val="25B15119"/>
    <w:rsid w:val="29414D80"/>
    <w:rsid w:val="2A430F8F"/>
    <w:rsid w:val="2B013235"/>
    <w:rsid w:val="2B140428"/>
    <w:rsid w:val="2BA82049"/>
    <w:rsid w:val="2C1502AD"/>
    <w:rsid w:val="2C281392"/>
    <w:rsid w:val="2DF32673"/>
    <w:rsid w:val="2E2F0A10"/>
    <w:rsid w:val="2E4E1277"/>
    <w:rsid w:val="2F9042F2"/>
    <w:rsid w:val="301B3221"/>
    <w:rsid w:val="30336155"/>
    <w:rsid w:val="3056729A"/>
    <w:rsid w:val="306C7855"/>
    <w:rsid w:val="313659CA"/>
    <w:rsid w:val="31AB7951"/>
    <w:rsid w:val="31F97E66"/>
    <w:rsid w:val="321900AE"/>
    <w:rsid w:val="33CE6DBC"/>
    <w:rsid w:val="342A06F2"/>
    <w:rsid w:val="3494640E"/>
    <w:rsid w:val="36CD1BB4"/>
    <w:rsid w:val="3703129C"/>
    <w:rsid w:val="373D2677"/>
    <w:rsid w:val="37D25600"/>
    <w:rsid w:val="389A773A"/>
    <w:rsid w:val="3A63734D"/>
    <w:rsid w:val="3CA15D9F"/>
    <w:rsid w:val="3CDF6AEE"/>
    <w:rsid w:val="3CFD66DE"/>
    <w:rsid w:val="3D9019E3"/>
    <w:rsid w:val="3F5FEBC3"/>
    <w:rsid w:val="3FBF65DB"/>
    <w:rsid w:val="408F1C47"/>
    <w:rsid w:val="40FC6910"/>
    <w:rsid w:val="410743C6"/>
    <w:rsid w:val="41A23526"/>
    <w:rsid w:val="425A515B"/>
    <w:rsid w:val="42C35943"/>
    <w:rsid w:val="4353279A"/>
    <w:rsid w:val="439B5EC9"/>
    <w:rsid w:val="44D27BFD"/>
    <w:rsid w:val="450C722E"/>
    <w:rsid w:val="458C3CEA"/>
    <w:rsid w:val="45FA0912"/>
    <w:rsid w:val="46B52EF6"/>
    <w:rsid w:val="4882716B"/>
    <w:rsid w:val="490C2004"/>
    <w:rsid w:val="4A663C35"/>
    <w:rsid w:val="4B666E61"/>
    <w:rsid w:val="4C063BC1"/>
    <w:rsid w:val="4CA94A58"/>
    <w:rsid w:val="4CF30BF8"/>
    <w:rsid w:val="4DAD264C"/>
    <w:rsid w:val="4F8E49A2"/>
    <w:rsid w:val="50495941"/>
    <w:rsid w:val="509D3E07"/>
    <w:rsid w:val="51DE3975"/>
    <w:rsid w:val="52557D30"/>
    <w:rsid w:val="52C20A46"/>
    <w:rsid w:val="55E017D3"/>
    <w:rsid w:val="56425C97"/>
    <w:rsid w:val="565B273F"/>
    <w:rsid w:val="57B93561"/>
    <w:rsid w:val="57DE0B15"/>
    <w:rsid w:val="585817A1"/>
    <w:rsid w:val="59EBAF79"/>
    <w:rsid w:val="5A372BB3"/>
    <w:rsid w:val="5ACA3483"/>
    <w:rsid w:val="5B9317FB"/>
    <w:rsid w:val="5BD44E4B"/>
    <w:rsid w:val="5BED1C90"/>
    <w:rsid w:val="5BF46A7A"/>
    <w:rsid w:val="5DFF38CF"/>
    <w:rsid w:val="5ED03CA2"/>
    <w:rsid w:val="60845107"/>
    <w:rsid w:val="614C00A9"/>
    <w:rsid w:val="620B3D5F"/>
    <w:rsid w:val="629B0D5D"/>
    <w:rsid w:val="62B34227"/>
    <w:rsid w:val="62F932F7"/>
    <w:rsid w:val="63C86C8B"/>
    <w:rsid w:val="63F771EE"/>
    <w:rsid w:val="64977906"/>
    <w:rsid w:val="66086C7B"/>
    <w:rsid w:val="66676142"/>
    <w:rsid w:val="676B331A"/>
    <w:rsid w:val="693F6522"/>
    <w:rsid w:val="69DA0207"/>
    <w:rsid w:val="6DF04DD0"/>
    <w:rsid w:val="6E2072BE"/>
    <w:rsid w:val="6EBA186A"/>
    <w:rsid w:val="6ED33975"/>
    <w:rsid w:val="6EEC3608"/>
    <w:rsid w:val="6F691AA5"/>
    <w:rsid w:val="70186EF2"/>
    <w:rsid w:val="713F6CC6"/>
    <w:rsid w:val="7168028D"/>
    <w:rsid w:val="716A76A7"/>
    <w:rsid w:val="71A4200E"/>
    <w:rsid w:val="71EC4C9E"/>
    <w:rsid w:val="72262E38"/>
    <w:rsid w:val="73D6757D"/>
    <w:rsid w:val="74665AAE"/>
    <w:rsid w:val="74FEA731"/>
    <w:rsid w:val="77E138AD"/>
    <w:rsid w:val="7875188E"/>
    <w:rsid w:val="78BB67EA"/>
    <w:rsid w:val="792F6965"/>
    <w:rsid w:val="799408E1"/>
    <w:rsid w:val="79D26E5E"/>
    <w:rsid w:val="7A405B10"/>
    <w:rsid w:val="7A50173B"/>
    <w:rsid w:val="7B7D5C35"/>
    <w:rsid w:val="7BEC5E24"/>
    <w:rsid w:val="7D615868"/>
    <w:rsid w:val="7E440C90"/>
    <w:rsid w:val="7E6647AD"/>
    <w:rsid w:val="7FF2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30B6F0"/>
  <w15:docId w15:val="{589C4E58-7738-4ED3-AE7C-DA12D10E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1"/>
    <w:semiHidden/>
    <w:qFormat/>
    <w:pPr>
      <w:jc w:val="left"/>
    </w:pPr>
  </w:style>
  <w:style w:type="paragraph" w:styleId="a6">
    <w:name w:val="Body Text"/>
    <w:basedOn w:val="a"/>
    <w:link w:val="a7"/>
    <w:uiPriority w:val="99"/>
    <w:unhideWhenUsed/>
    <w:qFormat/>
    <w:pPr>
      <w:spacing w:after="120"/>
    </w:pPr>
  </w:style>
  <w:style w:type="paragraph" w:styleId="a8">
    <w:name w:val="Body Text Indent"/>
    <w:basedOn w:val="a"/>
    <w:link w:val="a9"/>
    <w:qFormat/>
    <w:pPr>
      <w:spacing w:line="600" w:lineRule="exact"/>
      <w:ind w:firstLine="555"/>
    </w:pPr>
    <w:rPr>
      <w:rFonts w:ascii="仿宋_GB2312" w:eastAsia="仿宋_GB2312"/>
      <w:sz w:val="32"/>
      <w:szCs w:val="24"/>
    </w:rPr>
  </w:style>
  <w:style w:type="paragraph" w:styleId="aa">
    <w:name w:val="Balloon Text"/>
    <w:basedOn w:val="a"/>
    <w:link w:val="10"/>
    <w:semiHidden/>
    <w:qFormat/>
    <w:rPr>
      <w:sz w:val="18"/>
      <w:szCs w:val="18"/>
    </w:rPr>
  </w:style>
  <w:style w:type="paragraph" w:styleId="ab">
    <w:name w:val="footer"/>
    <w:basedOn w:val="a"/>
    <w:link w:val="1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1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Normal (Web)"/>
    <w:basedOn w:val="a"/>
    <w:uiPriority w:val="99"/>
    <w:unhideWhenUsed/>
    <w:qFormat/>
    <w:pPr>
      <w:spacing w:beforeAutospacing="1" w:after="0" w:afterAutospacing="1"/>
      <w:jc w:val="left"/>
    </w:pPr>
    <w:rPr>
      <w:kern w:val="0"/>
      <w:sz w:val="24"/>
    </w:rPr>
  </w:style>
  <w:style w:type="character" w:styleId="ae">
    <w:name w:val="Strong"/>
    <w:basedOn w:val="a0"/>
    <w:uiPriority w:val="22"/>
    <w:qFormat/>
    <w:rPr>
      <w:b/>
      <w:bCs/>
    </w:rPr>
  </w:style>
  <w:style w:type="character" w:styleId="af">
    <w:name w:val="page number"/>
    <w:basedOn w:val="a0"/>
    <w:qFormat/>
  </w:style>
  <w:style w:type="character" w:styleId="af0">
    <w:name w:val="annotation reference"/>
    <w:basedOn w:val="a0"/>
    <w:uiPriority w:val="99"/>
    <w:unhideWhenUsed/>
    <w:qFormat/>
    <w:rPr>
      <w:sz w:val="21"/>
      <w:szCs w:val="21"/>
    </w:rPr>
  </w:style>
  <w:style w:type="character" w:customStyle="1" w:styleId="12">
    <w:name w:val="页眉 字符1"/>
    <w:basedOn w:val="a0"/>
    <w:link w:val="ac"/>
    <w:uiPriority w:val="99"/>
    <w:qFormat/>
    <w:rPr>
      <w:sz w:val="18"/>
      <w:szCs w:val="18"/>
    </w:rPr>
  </w:style>
  <w:style w:type="character" w:customStyle="1" w:styleId="11">
    <w:name w:val="页脚 字符1"/>
    <w:basedOn w:val="a0"/>
    <w:link w:val="ab"/>
    <w:uiPriority w:val="99"/>
    <w:semiHidden/>
    <w:qFormat/>
    <w:rPr>
      <w:sz w:val="18"/>
      <w:szCs w:val="18"/>
    </w:rPr>
  </w:style>
  <w:style w:type="character" w:customStyle="1" w:styleId="10">
    <w:name w:val="批注框文本 字符1"/>
    <w:basedOn w:val="a0"/>
    <w:link w:val="aa"/>
    <w:semiHidden/>
    <w:qFormat/>
    <w:rPr>
      <w:rFonts w:ascii="Times New Roman" w:eastAsia="宋体" w:hAnsi="Times New Roman" w:cs="Times New Roman"/>
      <w:sz w:val="18"/>
      <w:szCs w:val="18"/>
    </w:rPr>
  </w:style>
  <w:style w:type="character" w:customStyle="1" w:styleId="a9">
    <w:name w:val="正文文本缩进 字符"/>
    <w:basedOn w:val="a0"/>
    <w:link w:val="a8"/>
    <w:qFormat/>
    <w:rPr>
      <w:rFonts w:ascii="仿宋_GB2312" w:eastAsia="仿宋_GB2312" w:hAnsi="Times New Roman" w:cs="Times New Roman"/>
      <w:sz w:val="32"/>
      <w:szCs w:val="24"/>
    </w:rPr>
  </w:style>
  <w:style w:type="character" w:customStyle="1" w:styleId="1">
    <w:name w:val="批注文字 字符1"/>
    <w:basedOn w:val="a0"/>
    <w:link w:val="a4"/>
    <w:semiHidden/>
    <w:qFormat/>
    <w:rPr>
      <w:rFonts w:ascii="Times New Roman" w:eastAsia="宋体" w:hAnsi="Times New Roman" w:cs="Times New Roman"/>
      <w:szCs w:val="20"/>
    </w:rPr>
  </w:style>
  <w:style w:type="character" w:customStyle="1" w:styleId="a7">
    <w:name w:val="正文文本 字符"/>
    <w:basedOn w:val="a0"/>
    <w:link w:val="a6"/>
    <w:uiPriority w:val="99"/>
    <w:qFormat/>
    <w:rPr>
      <w:rFonts w:ascii="Times New Roman" w:eastAsia="宋体" w:hAnsi="Times New Roman" w:cs="Times New Roman"/>
      <w:szCs w:val="20"/>
    </w:rPr>
  </w:style>
  <w:style w:type="paragraph" w:customStyle="1" w:styleId="13">
    <w:name w:val="列表段落1"/>
    <w:basedOn w:val="a"/>
    <w:uiPriority w:val="34"/>
    <w:qFormat/>
    <w:pPr>
      <w:ind w:firstLineChars="200" w:firstLine="420"/>
    </w:pPr>
    <w:rPr>
      <w:rFonts w:asciiTheme="minorHAnsi" w:eastAsiaTheme="minorEastAsia" w:hAnsiTheme="minorHAnsi" w:cstheme="minorBidi"/>
      <w:szCs w:val="22"/>
    </w:rPr>
  </w:style>
  <w:style w:type="character" w:customStyle="1" w:styleId="a5">
    <w:name w:val="批注主题 字符"/>
    <w:basedOn w:val="1"/>
    <w:link w:val="a3"/>
    <w:uiPriority w:val="99"/>
    <w:semiHidden/>
    <w:qFormat/>
    <w:rPr>
      <w:rFonts w:ascii="Times New Roman" w:eastAsia="宋体" w:hAnsi="Times New Roman" w:cs="Times New Roman"/>
      <w:b/>
      <w:bCs/>
      <w:szCs w:val="20"/>
    </w:rPr>
  </w:style>
  <w:style w:type="character" w:customStyle="1" w:styleId="af1">
    <w:name w:val="页脚 字符"/>
    <w:uiPriority w:val="99"/>
    <w:semiHidden/>
    <w:qFormat/>
    <w:rPr>
      <w:sz w:val="18"/>
      <w:szCs w:val="18"/>
    </w:rPr>
  </w:style>
  <w:style w:type="character" w:customStyle="1" w:styleId="af2">
    <w:name w:val="页眉 字符"/>
    <w:uiPriority w:val="99"/>
    <w:qFormat/>
    <w:rPr>
      <w:sz w:val="18"/>
      <w:szCs w:val="18"/>
    </w:rPr>
  </w:style>
  <w:style w:type="character" w:customStyle="1" w:styleId="af3">
    <w:name w:val="批注框文本 字符"/>
    <w:semiHidden/>
    <w:qFormat/>
    <w:rPr>
      <w:rFonts w:ascii="Times New Roman" w:eastAsia="宋体" w:hAnsi="Times New Roman" w:cs="Times New Roman"/>
      <w:sz w:val="18"/>
      <w:szCs w:val="18"/>
    </w:rPr>
  </w:style>
  <w:style w:type="character" w:customStyle="1" w:styleId="af4">
    <w:name w:val="批注文字 字符"/>
    <w:semiHidden/>
    <w:qFormat/>
    <w:rPr>
      <w:rFonts w:ascii="Times New Roman" w:eastAsia="宋体" w:hAnsi="Times New Roman" w:cs="Times New Roman"/>
      <w:szCs w:val="20"/>
    </w:rPr>
  </w:style>
  <w:style w:type="paragraph" w:styleId="af5">
    <w:name w:val="Revision"/>
    <w:hidden/>
    <w:uiPriority w:val="99"/>
    <w:semiHidden/>
    <w:rsid w:val="00A5667F"/>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ZHANGWH</cp:lastModifiedBy>
  <cp:revision>6</cp:revision>
  <cp:lastPrinted>2020-09-24T01:27:00Z</cp:lastPrinted>
  <dcterms:created xsi:type="dcterms:W3CDTF">2022-09-12T14:15:00Z</dcterms:created>
  <dcterms:modified xsi:type="dcterms:W3CDTF">2022-09-16T09:03:00Z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y fmtid="{D5CDD505-2E9C-101B-9397-08002B2CF9AE}" pid="3" name="ICV">
    <vt:lpwstr>9194CFA384354C4893AE138A1EC7D6CA</vt:lpwstr>
  </property>
</Properties>
</file>